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AC" w:rsidRPr="0094266B" w:rsidRDefault="00A904AC" w:rsidP="00A904AC">
      <w:pPr>
        <w:jc w:val="center"/>
        <w:rPr>
          <w:b/>
          <w:caps/>
          <w:sz w:val="28"/>
          <w:szCs w:val="28"/>
        </w:rPr>
      </w:pPr>
      <w:r w:rsidRPr="0094266B">
        <w:rPr>
          <w:b/>
          <w:caps/>
          <w:sz w:val="28"/>
          <w:szCs w:val="28"/>
        </w:rPr>
        <w:t>П о я с н и т е л ь н а я  з а п и с к а</w:t>
      </w:r>
    </w:p>
    <w:p w:rsidR="00A904AC" w:rsidRPr="0094266B" w:rsidRDefault="00A904AC" w:rsidP="00A90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</w:t>
      </w:r>
      <w:r w:rsidRPr="0094266B">
        <w:rPr>
          <w:b/>
          <w:bCs/>
          <w:sz w:val="28"/>
          <w:szCs w:val="28"/>
        </w:rPr>
        <w:t xml:space="preserve"> бюджета городского округа город Нефтекамск</w:t>
      </w:r>
    </w:p>
    <w:p w:rsidR="00A904AC" w:rsidRPr="0094266B" w:rsidRDefault="00A904AC" w:rsidP="00A904AC">
      <w:pPr>
        <w:jc w:val="center"/>
        <w:rPr>
          <w:b/>
          <w:bCs/>
          <w:sz w:val="28"/>
          <w:szCs w:val="28"/>
        </w:rPr>
      </w:pPr>
      <w:r w:rsidRPr="0094266B">
        <w:rPr>
          <w:b/>
          <w:bCs/>
          <w:sz w:val="28"/>
          <w:szCs w:val="28"/>
        </w:rPr>
        <w:t>Республики Башкортостан на 201</w:t>
      </w:r>
      <w:r>
        <w:rPr>
          <w:b/>
          <w:bCs/>
          <w:sz w:val="28"/>
          <w:szCs w:val="28"/>
        </w:rPr>
        <w:t>7</w:t>
      </w:r>
      <w:r w:rsidRPr="0094266B">
        <w:rPr>
          <w:b/>
          <w:bCs/>
          <w:sz w:val="28"/>
          <w:szCs w:val="28"/>
        </w:rPr>
        <w:t xml:space="preserve"> год и </w:t>
      </w:r>
    </w:p>
    <w:p w:rsidR="00A904AC" w:rsidRPr="0094266B" w:rsidRDefault="00A904AC" w:rsidP="00A904AC">
      <w:pPr>
        <w:jc w:val="center"/>
        <w:rPr>
          <w:b/>
          <w:bCs/>
          <w:sz w:val="28"/>
          <w:szCs w:val="28"/>
        </w:rPr>
      </w:pPr>
      <w:r w:rsidRPr="0094266B">
        <w:rPr>
          <w:b/>
          <w:bCs/>
          <w:sz w:val="28"/>
          <w:szCs w:val="28"/>
        </w:rPr>
        <w:t>на плановый период 201</w:t>
      </w:r>
      <w:r>
        <w:rPr>
          <w:b/>
          <w:bCs/>
          <w:sz w:val="28"/>
          <w:szCs w:val="28"/>
        </w:rPr>
        <w:t>8</w:t>
      </w:r>
      <w:r w:rsidRPr="0094266B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9</w:t>
      </w:r>
      <w:r w:rsidRPr="0094266B">
        <w:rPr>
          <w:b/>
          <w:bCs/>
          <w:sz w:val="28"/>
          <w:szCs w:val="28"/>
        </w:rPr>
        <w:t xml:space="preserve"> годов</w:t>
      </w:r>
    </w:p>
    <w:p w:rsidR="00A904AC" w:rsidRPr="0094266B" w:rsidRDefault="00A904AC" w:rsidP="00A904AC">
      <w:pPr>
        <w:jc w:val="center"/>
        <w:rPr>
          <w:b/>
          <w:bCs/>
          <w:sz w:val="28"/>
          <w:szCs w:val="28"/>
        </w:rPr>
      </w:pPr>
    </w:p>
    <w:p w:rsidR="00A904AC" w:rsidRPr="0094266B" w:rsidRDefault="00A904AC" w:rsidP="00A904AC">
      <w:pPr>
        <w:jc w:val="center"/>
        <w:rPr>
          <w:b/>
          <w:sz w:val="28"/>
          <w:szCs w:val="28"/>
        </w:rPr>
      </w:pPr>
      <w:r w:rsidRPr="0094266B">
        <w:rPr>
          <w:b/>
          <w:sz w:val="28"/>
          <w:szCs w:val="28"/>
        </w:rPr>
        <w:t xml:space="preserve">Основная характеристика доходов бюджета </w:t>
      </w:r>
    </w:p>
    <w:p w:rsidR="00C93C17" w:rsidRPr="00A904AC" w:rsidRDefault="00A904AC" w:rsidP="00C93C17">
      <w:pPr>
        <w:jc w:val="center"/>
        <w:rPr>
          <w:b/>
          <w:sz w:val="28"/>
          <w:szCs w:val="28"/>
        </w:rPr>
      </w:pPr>
      <w:r w:rsidRPr="0094266B">
        <w:rPr>
          <w:b/>
          <w:sz w:val="28"/>
          <w:szCs w:val="28"/>
        </w:rPr>
        <w:t>городского округа город Нефтекамск Республики Башкортостан</w:t>
      </w:r>
    </w:p>
    <w:p w:rsidR="00C93C17" w:rsidRPr="00187655" w:rsidRDefault="00C93C17" w:rsidP="00C93C17">
      <w:pPr>
        <w:ind w:firstLine="709"/>
        <w:jc w:val="both"/>
        <w:rPr>
          <w:bCs/>
          <w:sz w:val="28"/>
          <w:szCs w:val="28"/>
        </w:rPr>
      </w:pPr>
    </w:p>
    <w:p w:rsidR="00C93C17" w:rsidRPr="002E7A0C" w:rsidRDefault="00C93C17" w:rsidP="00C93C17">
      <w:pPr>
        <w:ind w:firstLine="709"/>
        <w:jc w:val="both"/>
        <w:rPr>
          <w:bCs/>
          <w:sz w:val="28"/>
          <w:szCs w:val="28"/>
        </w:rPr>
      </w:pPr>
      <w:r w:rsidRPr="002E7A0C">
        <w:rPr>
          <w:bCs/>
          <w:sz w:val="28"/>
          <w:szCs w:val="28"/>
        </w:rPr>
        <w:t xml:space="preserve">Общий объем доходов бюджета </w:t>
      </w:r>
      <w:r w:rsidR="00A904AC" w:rsidRPr="002E7A0C">
        <w:rPr>
          <w:bCs/>
          <w:sz w:val="28"/>
          <w:szCs w:val="28"/>
        </w:rPr>
        <w:t xml:space="preserve">городского округа город Нефтекамск </w:t>
      </w:r>
      <w:r w:rsidRPr="002E7A0C">
        <w:rPr>
          <w:bCs/>
          <w:sz w:val="28"/>
          <w:szCs w:val="28"/>
        </w:rPr>
        <w:t>Республики Башкортостан</w:t>
      </w:r>
      <w:r w:rsidR="00E06FAA">
        <w:rPr>
          <w:bCs/>
          <w:sz w:val="28"/>
          <w:szCs w:val="28"/>
        </w:rPr>
        <w:t xml:space="preserve"> (далее </w:t>
      </w:r>
      <w:r w:rsidR="0088650D">
        <w:rPr>
          <w:bCs/>
          <w:sz w:val="28"/>
          <w:szCs w:val="28"/>
        </w:rPr>
        <w:t>–</w:t>
      </w:r>
      <w:r w:rsidR="00E06FAA">
        <w:rPr>
          <w:bCs/>
          <w:sz w:val="28"/>
          <w:szCs w:val="28"/>
        </w:rPr>
        <w:t xml:space="preserve"> </w:t>
      </w:r>
      <w:r w:rsidR="0088650D">
        <w:rPr>
          <w:bCs/>
          <w:sz w:val="28"/>
          <w:szCs w:val="28"/>
        </w:rPr>
        <w:t>бюджета городского округа)</w:t>
      </w:r>
      <w:r w:rsidRPr="002E7A0C">
        <w:rPr>
          <w:sz w:val="28"/>
          <w:szCs w:val="28"/>
        </w:rPr>
        <w:t xml:space="preserve"> </w:t>
      </w:r>
      <w:r w:rsidR="00A904AC" w:rsidRPr="002E7A0C">
        <w:rPr>
          <w:bCs/>
          <w:sz w:val="28"/>
          <w:szCs w:val="28"/>
        </w:rPr>
        <w:t xml:space="preserve">определен </w:t>
      </w:r>
      <w:r w:rsidRPr="002E7A0C">
        <w:rPr>
          <w:bCs/>
          <w:sz w:val="28"/>
          <w:szCs w:val="28"/>
        </w:rPr>
        <w:t xml:space="preserve">на основе действующего законодательства </w:t>
      </w:r>
      <w:r w:rsidRPr="002E7A0C">
        <w:rPr>
          <w:sz w:val="28"/>
          <w:szCs w:val="28"/>
        </w:rPr>
        <w:t xml:space="preserve">с учетом ряда планируемых изменений на </w:t>
      </w:r>
      <w:r w:rsidRPr="002E7A0C">
        <w:rPr>
          <w:bCs/>
          <w:sz w:val="28"/>
          <w:szCs w:val="28"/>
        </w:rPr>
        <w:t xml:space="preserve">2017 год в сумме </w:t>
      </w:r>
      <w:r w:rsidR="00A904AC" w:rsidRPr="002E7A0C">
        <w:rPr>
          <w:bCs/>
          <w:sz w:val="28"/>
          <w:szCs w:val="28"/>
        </w:rPr>
        <w:t>2</w:t>
      </w:r>
      <w:r w:rsidRPr="002E7A0C">
        <w:rPr>
          <w:bCs/>
          <w:sz w:val="28"/>
          <w:szCs w:val="28"/>
        </w:rPr>
        <w:t> </w:t>
      </w:r>
      <w:r w:rsidR="006F1C28" w:rsidRPr="002E7A0C">
        <w:rPr>
          <w:bCs/>
          <w:sz w:val="28"/>
          <w:szCs w:val="28"/>
        </w:rPr>
        <w:t>136</w:t>
      </w:r>
      <w:r w:rsidRPr="002E7A0C">
        <w:rPr>
          <w:bCs/>
          <w:sz w:val="28"/>
          <w:szCs w:val="28"/>
        </w:rPr>
        <w:t>,</w:t>
      </w:r>
      <w:r w:rsidR="00A904AC" w:rsidRPr="002E7A0C">
        <w:rPr>
          <w:bCs/>
          <w:sz w:val="28"/>
          <w:szCs w:val="28"/>
        </w:rPr>
        <w:t>4</w:t>
      </w:r>
      <w:r w:rsidRPr="002E7A0C">
        <w:rPr>
          <w:bCs/>
          <w:sz w:val="28"/>
          <w:szCs w:val="28"/>
        </w:rPr>
        <w:t xml:space="preserve"> млн. рублей, </w:t>
      </w:r>
      <w:r w:rsidR="00B623A6" w:rsidRPr="002E7A0C">
        <w:rPr>
          <w:bCs/>
          <w:sz w:val="28"/>
          <w:szCs w:val="28"/>
        </w:rPr>
        <w:t xml:space="preserve">с ростом </w:t>
      </w:r>
      <w:r w:rsidRPr="002E7A0C">
        <w:rPr>
          <w:bCs/>
          <w:sz w:val="28"/>
          <w:szCs w:val="28"/>
        </w:rPr>
        <w:t xml:space="preserve">к утвержденному плану 2016 года на </w:t>
      </w:r>
      <w:r w:rsidR="006F1C28" w:rsidRPr="002E7A0C">
        <w:rPr>
          <w:bCs/>
          <w:sz w:val="28"/>
          <w:szCs w:val="28"/>
        </w:rPr>
        <w:t>4,7</w:t>
      </w:r>
      <w:r w:rsidRPr="002E7A0C">
        <w:rPr>
          <w:bCs/>
          <w:sz w:val="28"/>
          <w:szCs w:val="28"/>
        </w:rPr>
        <w:t xml:space="preserve"> процента. На 2018 год планируемый объем доходов составляет </w:t>
      </w:r>
      <w:r w:rsidR="00B623A6" w:rsidRPr="002E7A0C">
        <w:rPr>
          <w:bCs/>
          <w:sz w:val="28"/>
          <w:szCs w:val="28"/>
        </w:rPr>
        <w:t>2</w:t>
      </w:r>
      <w:r w:rsidRPr="002E7A0C">
        <w:rPr>
          <w:bCs/>
          <w:sz w:val="28"/>
          <w:szCs w:val="28"/>
        </w:rPr>
        <w:t> </w:t>
      </w:r>
      <w:r w:rsidR="00B623A6" w:rsidRPr="002E7A0C">
        <w:rPr>
          <w:bCs/>
          <w:sz w:val="28"/>
          <w:szCs w:val="28"/>
        </w:rPr>
        <w:t>0</w:t>
      </w:r>
      <w:r w:rsidR="006F1C28" w:rsidRPr="002E7A0C">
        <w:rPr>
          <w:bCs/>
          <w:sz w:val="28"/>
          <w:szCs w:val="28"/>
        </w:rPr>
        <w:t>88</w:t>
      </w:r>
      <w:r w:rsidRPr="002E7A0C">
        <w:rPr>
          <w:bCs/>
          <w:sz w:val="28"/>
          <w:szCs w:val="28"/>
        </w:rPr>
        <w:t>,</w:t>
      </w:r>
      <w:r w:rsidR="006F1C28" w:rsidRPr="002E7A0C">
        <w:rPr>
          <w:bCs/>
          <w:sz w:val="28"/>
          <w:szCs w:val="28"/>
        </w:rPr>
        <w:t>6</w:t>
      </w:r>
      <w:r w:rsidRPr="002E7A0C">
        <w:rPr>
          <w:bCs/>
          <w:sz w:val="28"/>
          <w:szCs w:val="28"/>
        </w:rPr>
        <w:t xml:space="preserve"> млн. рублей, </w:t>
      </w:r>
      <w:r w:rsidR="00B623A6" w:rsidRPr="002E7A0C">
        <w:rPr>
          <w:bCs/>
          <w:sz w:val="28"/>
          <w:szCs w:val="28"/>
        </w:rPr>
        <w:t xml:space="preserve">со снижением </w:t>
      </w:r>
      <w:r w:rsidRPr="002E7A0C">
        <w:rPr>
          <w:bCs/>
          <w:sz w:val="28"/>
          <w:szCs w:val="28"/>
        </w:rPr>
        <w:t xml:space="preserve">к прогнозному уровню 2017 года на </w:t>
      </w:r>
      <w:r w:rsidR="006F1C28" w:rsidRPr="002E7A0C">
        <w:rPr>
          <w:bCs/>
          <w:sz w:val="28"/>
          <w:szCs w:val="28"/>
        </w:rPr>
        <w:t>2</w:t>
      </w:r>
      <w:r w:rsidR="00B623A6" w:rsidRPr="002E7A0C">
        <w:rPr>
          <w:bCs/>
          <w:sz w:val="28"/>
          <w:szCs w:val="28"/>
        </w:rPr>
        <w:t>,2</w:t>
      </w:r>
      <w:r w:rsidRPr="002E7A0C">
        <w:rPr>
          <w:bCs/>
          <w:sz w:val="28"/>
          <w:szCs w:val="28"/>
        </w:rPr>
        <w:t xml:space="preserve"> процента, на 2019 год – </w:t>
      </w:r>
      <w:r w:rsidR="00B623A6" w:rsidRPr="002E7A0C">
        <w:rPr>
          <w:bCs/>
          <w:sz w:val="28"/>
          <w:szCs w:val="28"/>
        </w:rPr>
        <w:t>2</w:t>
      </w:r>
      <w:r w:rsidRPr="002E7A0C">
        <w:rPr>
          <w:bCs/>
          <w:sz w:val="28"/>
          <w:szCs w:val="28"/>
        </w:rPr>
        <w:t> </w:t>
      </w:r>
      <w:r w:rsidR="00B623A6" w:rsidRPr="002E7A0C">
        <w:rPr>
          <w:bCs/>
          <w:sz w:val="28"/>
          <w:szCs w:val="28"/>
        </w:rPr>
        <w:t>1</w:t>
      </w:r>
      <w:r w:rsidR="006F1C28" w:rsidRPr="002E7A0C">
        <w:rPr>
          <w:bCs/>
          <w:sz w:val="28"/>
          <w:szCs w:val="28"/>
        </w:rPr>
        <w:t>20</w:t>
      </w:r>
      <w:r w:rsidRPr="002E7A0C">
        <w:rPr>
          <w:bCs/>
          <w:sz w:val="28"/>
          <w:szCs w:val="28"/>
        </w:rPr>
        <w:t>,</w:t>
      </w:r>
      <w:r w:rsidR="006F1C28" w:rsidRPr="002E7A0C">
        <w:rPr>
          <w:bCs/>
          <w:sz w:val="28"/>
          <w:szCs w:val="28"/>
        </w:rPr>
        <w:t>9</w:t>
      </w:r>
      <w:r w:rsidRPr="002E7A0C">
        <w:rPr>
          <w:bCs/>
          <w:sz w:val="28"/>
          <w:szCs w:val="28"/>
        </w:rPr>
        <w:t xml:space="preserve"> млн. рублей,</w:t>
      </w:r>
      <w:r w:rsidR="00B623A6" w:rsidRPr="002E7A0C">
        <w:rPr>
          <w:bCs/>
          <w:sz w:val="28"/>
          <w:szCs w:val="28"/>
        </w:rPr>
        <w:t xml:space="preserve"> </w:t>
      </w:r>
      <w:r w:rsidRPr="002E7A0C">
        <w:rPr>
          <w:bCs/>
          <w:sz w:val="28"/>
          <w:szCs w:val="28"/>
        </w:rPr>
        <w:t xml:space="preserve">с ростом к прогнозному уровню 2018 года на </w:t>
      </w:r>
      <w:r w:rsidR="001A55A0" w:rsidRPr="002E7A0C">
        <w:rPr>
          <w:bCs/>
          <w:sz w:val="28"/>
          <w:szCs w:val="28"/>
        </w:rPr>
        <w:t>1,5</w:t>
      </w:r>
      <w:r w:rsidRPr="002E7A0C">
        <w:rPr>
          <w:bCs/>
          <w:sz w:val="28"/>
          <w:szCs w:val="28"/>
        </w:rPr>
        <w:t xml:space="preserve"> процента.</w:t>
      </w:r>
    </w:p>
    <w:p w:rsidR="00C93C17" w:rsidRPr="002E7A0C" w:rsidRDefault="00C93C17" w:rsidP="00C93C17">
      <w:pPr>
        <w:ind w:firstLine="709"/>
        <w:jc w:val="both"/>
        <w:rPr>
          <w:sz w:val="28"/>
          <w:szCs w:val="28"/>
        </w:rPr>
      </w:pPr>
      <w:r w:rsidRPr="002E7A0C">
        <w:rPr>
          <w:sz w:val="28"/>
          <w:szCs w:val="28"/>
        </w:rPr>
        <w:t>Изменения в бюджетном и налоговом законодательстве, адаптация экономики к изменившимся реалиям определили рост поступлений доходов</w:t>
      </w:r>
      <w:r w:rsidRPr="002E7A0C">
        <w:rPr>
          <w:sz w:val="28"/>
          <w:szCs w:val="28"/>
        </w:rPr>
        <w:br/>
        <w:t>по сравнению с объемами</w:t>
      </w:r>
      <w:r w:rsidR="00781C95">
        <w:rPr>
          <w:sz w:val="28"/>
          <w:szCs w:val="28"/>
        </w:rPr>
        <w:t>,</w:t>
      </w:r>
      <w:r w:rsidRPr="002E7A0C">
        <w:rPr>
          <w:sz w:val="28"/>
          <w:szCs w:val="28"/>
        </w:rPr>
        <w:t xml:space="preserve"> ранее утвержденными </w:t>
      </w:r>
      <w:r w:rsidR="00116BE7" w:rsidRPr="002E7A0C">
        <w:rPr>
          <w:sz w:val="28"/>
          <w:szCs w:val="28"/>
        </w:rPr>
        <w:t>решением Совета городского округа город Нефтекамск</w:t>
      </w:r>
      <w:r w:rsidRPr="002E7A0C">
        <w:rPr>
          <w:sz w:val="28"/>
          <w:szCs w:val="28"/>
        </w:rPr>
        <w:t xml:space="preserve"> Республики Башкортостан от 2</w:t>
      </w:r>
      <w:r w:rsidR="00116BE7" w:rsidRPr="002E7A0C">
        <w:rPr>
          <w:sz w:val="28"/>
          <w:szCs w:val="28"/>
        </w:rPr>
        <w:t>3</w:t>
      </w:r>
      <w:r w:rsidRPr="002E7A0C">
        <w:rPr>
          <w:sz w:val="28"/>
          <w:szCs w:val="28"/>
        </w:rPr>
        <w:t xml:space="preserve"> </w:t>
      </w:r>
      <w:r w:rsidR="00116BE7" w:rsidRPr="002E7A0C">
        <w:rPr>
          <w:sz w:val="28"/>
          <w:szCs w:val="28"/>
        </w:rPr>
        <w:t>декабря</w:t>
      </w:r>
      <w:r w:rsidRPr="002E7A0C">
        <w:rPr>
          <w:sz w:val="28"/>
          <w:szCs w:val="28"/>
        </w:rPr>
        <w:t xml:space="preserve"> 2015 года № </w:t>
      </w:r>
      <w:r w:rsidR="00116BE7" w:rsidRPr="002E7A0C">
        <w:rPr>
          <w:sz w:val="28"/>
          <w:szCs w:val="28"/>
        </w:rPr>
        <w:t>3-42/01</w:t>
      </w:r>
      <w:r w:rsidRPr="002E7A0C">
        <w:rPr>
          <w:sz w:val="28"/>
          <w:szCs w:val="28"/>
        </w:rPr>
        <w:t xml:space="preserve"> «О бюджете </w:t>
      </w:r>
      <w:r w:rsidR="00116BE7" w:rsidRPr="002E7A0C">
        <w:rPr>
          <w:sz w:val="28"/>
          <w:szCs w:val="28"/>
        </w:rPr>
        <w:t xml:space="preserve">городского округа город Нефтекамск </w:t>
      </w:r>
      <w:r w:rsidRPr="002E7A0C">
        <w:rPr>
          <w:sz w:val="28"/>
          <w:szCs w:val="28"/>
        </w:rPr>
        <w:t>Республики Башкортостан на 2016 год и на плановый период 2017 и 2018 годов</w:t>
      </w:r>
      <w:r w:rsidR="00D64530" w:rsidRPr="002E7A0C">
        <w:rPr>
          <w:sz w:val="28"/>
          <w:szCs w:val="28"/>
        </w:rPr>
        <w:t>" (далее –</w:t>
      </w:r>
      <w:r w:rsidR="00E96D71" w:rsidRPr="002E7A0C">
        <w:rPr>
          <w:sz w:val="28"/>
          <w:szCs w:val="28"/>
        </w:rPr>
        <w:t xml:space="preserve"> </w:t>
      </w:r>
      <w:r w:rsidR="00D64530" w:rsidRPr="002E7A0C">
        <w:rPr>
          <w:sz w:val="28"/>
          <w:szCs w:val="28"/>
        </w:rPr>
        <w:t>Решение № 3-42/01)</w:t>
      </w:r>
      <w:r w:rsidR="00116BE7" w:rsidRPr="002E7A0C">
        <w:rPr>
          <w:sz w:val="28"/>
          <w:szCs w:val="28"/>
        </w:rPr>
        <w:t xml:space="preserve"> </w:t>
      </w:r>
      <w:r w:rsidRPr="002E7A0C">
        <w:rPr>
          <w:sz w:val="28"/>
          <w:szCs w:val="28"/>
        </w:rPr>
        <w:t xml:space="preserve">в 2017 году на </w:t>
      </w:r>
      <w:r w:rsidR="00116BE7" w:rsidRPr="002E7A0C">
        <w:rPr>
          <w:sz w:val="28"/>
          <w:szCs w:val="28"/>
        </w:rPr>
        <w:t xml:space="preserve">7,8 </w:t>
      </w:r>
      <w:r w:rsidRPr="002E7A0C">
        <w:rPr>
          <w:sz w:val="28"/>
          <w:szCs w:val="28"/>
        </w:rPr>
        <w:t>процент</w:t>
      </w:r>
      <w:r w:rsidR="00116BE7" w:rsidRPr="002E7A0C">
        <w:rPr>
          <w:sz w:val="28"/>
          <w:szCs w:val="28"/>
        </w:rPr>
        <w:t>ов</w:t>
      </w:r>
      <w:r w:rsidRPr="002E7A0C">
        <w:rPr>
          <w:sz w:val="28"/>
          <w:szCs w:val="28"/>
        </w:rPr>
        <w:t xml:space="preserve">, в 2018 году – на </w:t>
      </w:r>
      <w:r w:rsidR="00116BE7" w:rsidRPr="002E7A0C">
        <w:rPr>
          <w:sz w:val="28"/>
          <w:szCs w:val="28"/>
        </w:rPr>
        <w:t>4,6</w:t>
      </w:r>
      <w:r w:rsidRPr="002E7A0C">
        <w:rPr>
          <w:sz w:val="28"/>
          <w:szCs w:val="28"/>
        </w:rPr>
        <w:t xml:space="preserve"> процента.</w:t>
      </w:r>
    </w:p>
    <w:p w:rsidR="00C93C17" w:rsidRPr="002E7A0C" w:rsidRDefault="00C93C17" w:rsidP="00C93C17">
      <w:pPr>
        <w:ind w:firstLine="709"/>
        <w:jc w:val="both"/>
        <w:rPr>
          <w:bCs/>
          <w:sz w:val="28"/>
          <w:szCs w:val="28"/>
        </w:rPr>
      </w:pPr>
      <w:r w:rsidRPr="002E7A0C">
        <w:rPr>
          <w:bCs/>
          <w:sz w:val="28"/>
          <w:szCs w:val="28"/>
        </w:rPr>
        <w:t xml:space="preserve">Доля планируемых налоговых доходов в общем объеме доходов бюджета </w:t>
      </w:r>
      <w:r w:rsidR="00D64530" w:rsidRPr="002E7A0C">
        <w:rPr>
          <w:bCs/>
          <w:sz w:val="28"/>
          <w:szCs w:val="28"/>
        </w:rPr>
        <w:t>городского округа</w:t>
      </w:r>
      <w:r w:rsidRPr="002E7A0C">
        <w:rPr>
          <w:bCs/>
          <w:sz w:val="28"/>
          <w:szCs w:val="28"/>
        </w:rPr>
        <w:t xml:space="preserve"> в 2017 году составляет </w:t>
      </w:r>
      <w:r w:rsidR="00D64530" w:rsidRPr="002E7A0C">
        <w:rPr>
          <w:bCs/>
          <w:sz w:val="28"/>
          <w:szCs w:val="28"/>
        </w:rPr>
        <w:t>27,3</w:t>
      </w:r>
      <w:r w:rsidRPr="002E7A0C">
        <w:rPr>
          <w:bCs/>
          <w:sz w:val="28"/>
          <w:szCs w:val="28"/>
        </w:rPr>
        <w:t xml:space="preserve"> процента, в 2018 году – </w:t>
      </w:r>
      <w:r w:rsidR="00D64530" w:rsidRPr="002E7A0C">
        <w:rPr>
          <w:bCs/>
          <w:sz w:val="28"/>
          <w:szCs w:val="28"/>
        </w:rPr>
        <w:t>29,4</w:t>
      </w:r>
      <w:r w:rsidRPr="002E7A0C">
        <w:rPr>
          <w:bCs/>
          <w:sz w:val="28"/>
          <w:szCs w:val="28"/>
        </w:rPr>
        <w:t xml:space="preserve"> процент</w:t>
      </w:r>
      <w:r w:rsidR="00D64530" w:rsidRPr="002E7A0C">
        <w:rPr>
          <w:bCs/>
          <w:sz w:val="28"/>
          <w:szCs w:val="28"/>
        </w:rPr>
        <w:t>а</w:t>
      </w:r>
      <w:r w:rsidRPr="002E7A0C">
        <w:rPr>
          <w:bCs/>
          <w:sz w:val="28"/>
          <w:szCs w:val="28"/>
        </w:rPr>
        <w:t xml:space="preserve">, в 2019 году – </w:t>
      </w:r>
      <w:r w:rsidR="00D64530" w:rsidRPr="002E7A0C">
        <w:rPr>
          <w:bCs/>
          <w:sz w:val="28"/>
          <w:szCs w:val="28"/>
        </w:rPr>
        <w:t>30</w:t>
      </w:r>
      <w:r w:rsidRPr="002E7A0C">
        <w:rPr>
          <w:bCs/>
          <w:sz w:val="28"/>
          <w:szCs w:val="28"/>
        </w:rPr>
        <w:t xml:space="preserve"> процент</w:t>
      </w:r>
      <w:r w:rsidR="00D64530" w:rsidRPr="002E7A0C">
        <w:rPr>
          <w:bCs/>
          <w:sz w:val="28"/>
          <w:szCs w:val="28"/>
        </w:rPr>
        <w:t>ов</w:t>
      </w:r>
      <w:r w:rsidRPr="002E7A0C">
        <w:rPr>
          <w:bCs/>
          <w:sz w:val="28"/>
          <w:szCs w:val="28"/>
        </w:rPr>
        <w:t>, нен</w:t>
      </w:r>
      <w:r w:rsidR="00D64530" w:rsidRPr="002E7A0C">
        <w:rPr>
          <w:bCs/>
          <w:sz w:val="28"/>
          <w:szCs w:val="28"/>
        </w:rPr>
        <w:t>алоговых доходов в 2017 году – 14</w:t>
      </w:r>
      <w:r w:rsidRPr="002E7A0C">
        <w:rPr>
          <w:bCs/>
          <w:sz w:val="28"/>
          <w:szCs w:val="28"/>
        </w:rPr>
        <w:t>,1</w:t>
      </w:r>
      <w:r w:rsidR="00D64530" w:rsidRPr="002E7A0C">
        <w:rPr>
          <w:bCs/>
          <w:sz w:val="28"/>
          <w:szCs w:val="28"/>
        </w:rPr>
        <w:t xml:space="preserve"> процент</w:t>
      </w:r>
      <w:r w:rsidRPr="002E7A0C">
        <w:rPr>
          <w:bCs/>
          <w:sz w:val="28"/>
          <w:szCs w:val="28"/>
        </w:rPr>
        <w:t xml:space="preserve">, в 2018 году – </w:t>
      </w:r>
      <w:r w:rsidR="00D64530" w:rsidRPr="002E7A0C">
        <w:rPr>
          <w:bCs/>
          <w:sz w:val="28"/>
          <w:szCs w:val="28"/>
        </w:rPr>
        <w:t>14,7</w:t>
      </w:r>
      <w:r w:rsidRPr="002E7A0C">
        <w:rPr>
          <w:bCs/>
          <w:sz w:val="28"/>
          <w:szCs w:val="28"/>
        </w:rPr>
        <w:t xml:space="preserve"> процента, в 2019 году – </w:t>
      </w:r>
      <w:r w:rsidR="00D64530" w:rsidRPr="002E7A0C">
        <w:rPr>
          <w:bCs/>
          <w:sz w:val="28"/>
          <w:szCs w:val="28"/>
        </w:rPr>
        <w:t>15</w:t>
      </w:r>
      <w:r w:rsidRPr="002E7A0C">
        <w:rPr>
          <w:bCs/>
          <w:sz w:val="28"/>
          <w:szCs w:val="28"/>
        </w:rPr>
        <w:t xml:space="preserve"> процент</w:t>
      </w:r>
      <w:r w:rsidR="00D64530" w:rsidRPr="002E7A0C">
        <w:rPr>
          <w:bCs/>
          <w:sz w:val="28"/>
          <w:szCs w:val="28"/>
        </w:rPr>
        <w:t>ов</w:t>
      </w:r>
      <w:r w:rsidRPr="002E7A0C">
        <w:rPr>
          <w:bCs/>
          <w:sz w:val="28"/>
          <w:szCs w:val="28"/>
        </w:rPr>
        <w:t xml:space="preserve">, безвозмездных поступлений в 2017 году – </w:t>
      </w:r>
      <w:r w:rsidR="00D64530" w:rsidRPr="002E7A0C">
        <w:rPr>
          <w:bCs/>
          <w:sz w:val="28"/>
          <w:szCs w:val="28"/>
        </w:rPr>
        <w:t>58,6 процента, в 2018 году – 55,9</w:t>
      </w:r>
      <w:r w:rsidRPr="002E7A0C">
        <w:rPr>
          <w:bCs/>
          <w:sz w:val="28"/>
          <w:szCs w:val="28"/>
        </w:rPr>
        <w:t xml:space="preserve"> процента, в 2019 году – 5</w:t>
      </w:r>
      <w:r w:rsidR="00D64530" w:rsidRPr="002E7A0C">
        <w:rPr>
          <w:bCs/>
          <w:sz w:val="28"/>
          <w:szCs w:val="28"/>
        </w:rPr>
        <w:t xml:space="preserve">5 </w:t>
      </w:r>
      <w:r w:rsidRPr="002E7A0C">
        <w:rPr>
          <w:bCs/>
          <w:sz w:val="28"/>
          <w:szCs w:val="28"/>
        </w:rPr>
        <w:t>процентов.</w:t>
      </w:r>
    </w:p>
    <w:p w:rsidR="00C93C17" w:rsidRPr="002E7A0C" w:rsidRDefault="00C93C17" w:rsidP="00C93C17">
      <w:pPr>
        <w:ind w:firstLine="709"/>
        <w:jc w:val="both"/>
        <w:rPr>
          <w:sz w:val="28"/>
          <w:szCs w:val="28"/>
        </w:rPr>
      </w:pPr>
      <w:r w:rsidRPr="002E7A0C">
        <w:rPr>
          <w:bCs/>
          <w:sz w:val="28"/>
          <w:szCs w:val="28"/>
        </w:rPr>
        <w:t xml:space="preserve">Общий объем налоговых и неналоговых доходов бюджета </w:t>
      </w:r>
      <w:r w:rsidR="00D64530" w:rsidRPr="002E7A0C">
        <w:rPr>
          <w:bCs/>
          <w:sz w:val="28"/>
          <w:szCs w:val="28"/>
        </w:rPr>
        <w:t>городского округа</w:t>
      </w:r>
      <w:r w:rsidRPr="002E7A0C">
        <w:rPr>
          <w:sz w:val="28"/>
          <w:szCs w:val="28"/>
        </w:rPr>
        <w:t xml:space="preserve"> характеризуется следующими показателями:</w:t>
      </w:r>
    </w:p>
    <w:tbl>
      <w:tblPr>
        <w:tblW w:w="4913" w:type="pct"/>
        <w:jc w:val="center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/>
      </w:tblPr>
      <w:tblGrid>
        <w:gridCol w:w="2879"/>
        <w:gridCol w:w="1095"/>
        <w:gridCol w:w="1148"/>
        <w:gridCol w:w="913"/>
        <w:gridCol w:w="1208"/>
        <w:gridCol w:w="1084"/>
        <w:gridCol w:w="1077"/>
      </w:tblGrid>
      <w:tr w:rsidR="00C93C17" w:rsidRPr="002E7A0C" w:rsidTr="005144AE">
        <w:trPr>
          <w:tblHeader/>
          <w:jc w:val="center"/>
        </w:trPr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Наименование показателя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30" w:rsidRPr="003A581D" w:rsidRDefault="00C93C17" w:rsidP="00D64530">
            <w:pPr>
              <w:ind w:left="-102" w:right="-112"/>
              <w:jc w:val="center"/>
            </w:pPr>
            <w:r w:rsidRPr="003A581D">
              <w:t>2016 год</w:t>
            </w:r>
          </w:p>
          <w:p w:rsidR="00C93C17" w:rsidRPr="003A581D" w:rsidRDefault="00D64530" w:rsidP="00D64530">
            <w:pPr>
              <w:ind w:left="-102" w:right="-112"/>
              <w:jc w:val="center"/>
            </w:pPr>
            <w:r w:rsidRPr="003A581D">
              <w:t xml:space="preserve">Решение № 3-42/01 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2017 год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2018 год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2019 год проект</w:t>
            </w:r>
          </w:p>
        </w:tc>
      </w:tr>
      <w:tr w:rsidR="00C93C17" w:rsidRPr="002E7A0C" w:rsidTr="005144AE">
        <w:trPr>
          <w:tblHeader/>
          <w:jc w:val="center"/>
        </w:trPr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/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/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5144AE" w:rsidP="00A904AC">
            <w:pPr>
              <w:ind w:right="-110"/>
              <w:jc w:val="center"/>
            </w:pPr>
            <w:r w:rsidRPr="003A581D">
              <w:t>Решение № 3-42/01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проект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5144AE" w:rsidP="00A904AC">
            <w:pPr>
              <w:ind w:left="-36" w:right="-73"/>
              <w:jc w:val="center"/>
            </w:pPr>
            <w:r w:rsidRPr="003A581D">
              <w:t>Решение № 3-42/01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проект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/>
        </w:tc>
      </w:tr>
      <w:tr w:rsidR="00C93C17" w:rsidRPr="002E7A0C" w:rsidTr="005144AE">
        <w:trPr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>
            <w:r w:rsidRPr="003A581D">
              <w:t xml:space="preserve">Общий объем налоговых </w:t>
            </w:r>
            <w:r w:rsidRPr="003A581D">
              <w:br/>
              <w:t>и неналоговых доходов, млн. рублей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D64530" w:rsidP="001A63D7">
            <w:pPr>
              <w:ind w:left="-109" w:right="-112"/>
              <w:jc w:val="center"/>
            </w:pPr>
            <w:r w:rsidRPr="003A581D">
              <w:t>867</w:t>
            </w:r>
            <w:r w:rsidR="00C93C17" w:rsidRPr="003A581D">
              <w:t>,</w:t>
            </w:r>
            <w:r w:rsidR="001A63D7"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ind w:left="-106" w:right="-110" w:hanging="3"/>
              <w:jc w:val="center"/>
            </w:pPr>
            <w:r w:rsidRPr="003A581D">
              <w:t>852,7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ind w:left="-106" w:right="-69"/>
              <w:jc w:val="center"/>
            </w:pPr>
            <w:r w:rsidRPr="003A581D">
              <w:t>884,2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ind w:left="-144" w:right="-188"/>
              <w:jc w:val="center"/>
            </w:pPr>
            <w:r w:rsidRPr="003A581D">
              <w:t>876,0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ind w:left="-86" w:right="-78"/>
              <w:jc w:val="center"/>
            </w:pPr>
            <w:r w:rsidRPr="003A581D">
              <w:t>920,8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ind w:left="-108" w:right="-144"/>
              <w:jc w:val="center"/>
            </w:pPr>
            <w:r w:rsidRPr="003A581D">
              <w:t>955,4</w:t>
            </w:r>
          </w:p>
        </w:tc>
      </w:tr>
      <w:tr w:rsidR="00C93C17" w:rsidRPr="002E7A0C" w:rsidTr="005144AE">
        <w:trPr>
          <w:cantSplit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>
            <w:r w:rsidRPr="003A581D">
              <w:t>Доля общего объема налоговых и неналоговых доходов в общем объеме доходов, 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jc w:val="center"/>
            </w:pPr>
            <w:r w:rsidRPr="003A581D">
              <w:t>42,5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jc w:val="center"/>
            </w:pPr>
            <w:r w:rsidRPr="003A581D">
              <w:t>43,0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jc w:val="center"/>
            </w:pPr>
            <w:r w:rsidRPr="003A581D">
              <w:t>41,4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jc w:val="center"/>
            </w:pPr>
            <w:r w:rsidRPr="003A581D">
              <w:t>43,9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jc w:val="center"/>
            </w:pPr>
            <w:r w:rsidRPr="003A581D">
              <w:t>44,1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jc w:val="center"/>
            </w:pPr>
            <w:r w:rsidRPr="003A581D">
              <w:t>4</w:t>
            </w:r>
            <w:r w:rsidR="00C93C17" w:rsidRPr="003A581D">
              <w:t>5,0</w:t>
            </w:r>
          </w:p>
        </w:tc>
      </w:tr>
      <w:tr w:rsidR="00C93C17" w:rsidRPr="002E7A0C" w:rsidTr="005144AE">
        <w:trPr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>
            <w:r w:rsidRPr="003A581D">
              <w:t>Прирост (снижение)</w:t>
            </w:r>
          </w:p>
          <w:p w:rsidR="00C93C17" w:rsidRPr="003A581D" w:rsidRDefault="00C93C17" w:rsidP="00A904AC">
            <w:r w:rsidRPr="003A581D">
              <w:t xml:space="preserve">к предыдущему году, </w:t>
            </w:r>
          </w:p>
          <w:p w:rsidR="00C93C17" w:rsidRPr="003A581D" w:rsidRDefault="00C93C17" w:rsidP="00A904AC">
            <w:r w:rsidRPr="003A581D">
              <w:t>млн. рублей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5144AE" w:rsidP="00A904AC">
            <w:pPr>
              <w:jc w:val="center"/>
            </w:pPr>
            <w:r w:rsidRPr="003A581D">
              <w:t>16,4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E96D71" w:rsidP="00A904AC">
            <w:pPr>
              <w:jc w:val="center"/>
            </w:pPr>
            <w:r w:rsidRPr="003A581D">
              <w:t>36,6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E96D71" w:rsidP="00A904AC">
            <w:pPr>
              <w:jc w:val="center"/>
            </w:pPr>
            <w:r w:rsidRPr="003A581D">
              <w:t>34,6</w:t>
            </w:r>
          </w:p>
        </w:tc>
      </w:tr>
      <w:tr w:rsidR="00C93C17" w:rsidRPr="002E7A0C" w:rsidTr="005144AE">
        <w:trPr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A581D" w:rsidRDefault="00C93C17" w:rsidP="00A904AC">
            <w:r w:rsidRPr="003A581D">
              <w:lastRenderedPageBreak/>
              <w:t>Темп прироста (снижения)</w:t>
            </w:r>
          </w:p>
          <w:p w:rsidR="00C93C17" w:rsidRPr="003A581D" w:rsidRDefault="00C93C17" w:rsidP="00A904AC">
            <w:r w:rsidRPr="003A581D">
              <w:t>к предыдущему году, 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4B35AF" w:rsidP="00A904AC">
            <w:pPr>
              <w:jc w:val="center"/>
            </w:pPr>
            <w:r w:rsidRPr="003A581D">
              <w:t>1,9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C93C17" w:rsidP="00A904AC">
            <w:pPr>
              <w:jc w:val="center"/>
            </w:pPr>
            <w:r w:rsidRPr="003A581D"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4B35AF" w:rsidP="00A904AC">
            <w:pPr>
              <w:jc w:val="center"/>
            </w:pPr>
            <w:r w:rsidRPr="003A581D">
              <w:t>4</w:t>
            </w:r>
            <w:r w:rsidR="00C93C17" w:rsidRPr="003A581D">
              <w:t>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3A581D" w:rsidRDefault="00C93C17" w:rsidP="004B35AF">
            <w:pPr>
              <w:jc w:val="center"/>
            </w:pPr>
            <w:r w:rsidRPr="003A581D">
              <w:t>3,</w:t>
            </w:r>
            <w:r w:rsidR="004B35AF" w:rsidRPr="003A581D">
              <w:t>8</w:t>
            </w:r>
          </w:p>
        </w:tc>
      </w:tr>
    </w:tbl>
    <w:p w:rsidR="00C93C17" w:rsidRPr="00EF5E3B" w:rsidRDefault="00C93C17" w:rsidP="00C93C17">
      <w:pPr>
        <w:ind w:firstLine="709"/>
        <w:jc w:val="both"/>
        <w:rPr>
          <w:bCs/>
          <w:sz w:val="28"/>
          <w:szCs w:val="28"/>
        </w:rPr>
      </w:pPr>
      <w:r w:rsidRPr="00EF5E3B">
        <w:rPr>
          <w:sz w:val="28"/>
          <w:szCs w:val="28"/>
        </w:rPr>
        <w:t xml:space="preserve">Поступления </w:t>
      </w:r>
      <w:r w:rsidRPr="00EF5E3B">
        <w:rPr>
          <w:bCs/>
          <w:sz w:val="28"/>
          <w:szCs w:val="28"/>
        </w:rPr>
        <w:t>налоговых и неналоговых доходов</w:t>
      </w:r>
      <w:r w:rsidRPr="00EF5E3B">
        <w:rPr>
          <w:sz w:val="28"/>
          <w:szCs w:val="28"/>
        </w:rPr>
        <w:t xml:space="preserve"> в 2017 году </w:t>
      </w:r>
      <w:r w:rsidRPr="00EF5E3B">
        <w:rPr>
          <w:bCs/>
          <w:sz w:val="28"/>
          <w:szCs w:val="28"/>
        </w:rPr>
        <w:t xml:space="preserve">прогнозируются с ростом к утвержденному плану 2016 года на </w:t>
      </w:r>
      <w:r w:rsidR="003A581D">
        <w:rPr>
          <w:bCs/>
          <w:sz w:val="28"/>
          <w:szCs w:val="28"/>
        </w:rPr>
        <w:t>1,9</w:t>
      </w:r>
      <w:r w:rsidRPr="00EF5E3B">
        <w:rPr>
          <w:bCs/>
          <w:sz w:val="28"/>
          <w:szCs w:val="28"/>
        </w:rPr>
        <w:t xml:space="preserve"> процент</w:t>
      </w:r>
      <w:r w:rsidR="00986CD1">
        <w:rPr>
          <w:bCs/>
          <w:sz w:val="28"/>
          <w:szCs w:val="28"/>
        </w:rPr>
        <w:t xml:space="preserve">ов, </w:t>
      </w:r>
      <w:r w:rsidR="003A581D">
        <w:rPr>
          <w:bCs/>
          <w:sz w:val="28"/>
          <w:szCs w:val="28"/>
        </w:rPr>
        <w:t>на уровне</w:t>
      </w:r>
      <w:r w:rsidRPr="00EF5E3B">
        <w:rPr>
          <w:bCs/>
          <w:sz w:val="28"/>
          <w:szCs w:val="28"/>
        </w:rPr>
        <w:t xml:space="preserve"> ожидаемой оценк</w:t>
      </w:r>
      <w:r w:rsidR="00C95ED2">
        <w:rPr>
          <w:bCs/>
          <w:sz w:val="28"/>
          <w:szCs w:val="28"/>
        </w:rPr>
        <w:t xml:space="preserve">и на 2016 год, </w:t>
      </w:r>
      <w:r w:rsidRPr="00EF5E3B">
        <w:rPr>
          <w:bCs/>
          <w:sz w:val="28"/>
          <w:szCs w:val="28"/>
        </w:rPr>
        <w:t xml:space="preserve">в 2018–2019 годах – с темпом </w:t>
      </w:r>
      <w:r w:rsidR="00986CD1">
        <w:rPr>
          <w:bCs/>
          <w:sz w:val="28"/>
          <w:szCs w:val="28"/>
        </w:rPr>
        <w:t>при</w:t>
      </w:r>
      <w:r w:rsidRPr="00EF5E3B">
        <w:rPr>
          <w:bCs/>
          <w:sz w:val="28"/>
          <w:szCs w:val="28"/>
        </w:rPr>
        <w:t xml:space="preserve">роста на </w:t>
      </w:r>
      <w:r w:rsidR="00C95ED2">
        <w:rPr>
          <w:bCs/>
          <w:sz w:val="28"/>
          <w:szCs w:val="28"/>
        </w:rPr>
        <w:t>4</w:t>
      </w:r>
      <w:r w:rsidRPr="00EF5E3B">
        <w:rPr>
          <w:bCs/>
          <w:sz w:val="28"/>
          <w:szCs w:val="28"/>
        </w:rPr>
        <w:t xml:space="preserve">,1 </w:t>
      </w:r>
      <w:r w:rsidR="00C95ED2">
        <w:rPr>
          <w:bCs/>
          <w:sz w:val="28"/>
          <w:szCs w:val="28"/>
        </w:rPr>
        <w:t xml:space="preserve">и 3,8 </w:t>
      </w:r>
      <w:r w:rsidRPr="00EF5E3B">
        <w:rPr>
          <w:bCs/>
          <w:sz w:val="28"/>
          <w:szCs w:val="28"/>
        </w:rPr>
        <w:t>процента.</w:t>
      </w:r>
    </w:p>
    <w:p w:rsidR="00C93C17" w:rsidRPr="005D13F8" w:rsidRDefault="00C93C17" w:rsidP="008D6E40">
      <w:pPr>
        <w:ind w:firstLine="709"/>
        <w:jc w:val="both"/>
        <w:rPr>
          <w:sz w:val="28"/>
          <w:szCs w:val="28"/>
        </w:rPr>
      </w:pPr>
      <w:r w:rsidRPr="00C838C1">
        <w:rPr>
          <w:sz w:val="28"/>
          <w:szCs w:val="28"/>
        </w:rPr>
        <w:t>Увеличение объема поступления налоговых и неналоговых доходов</w:t>
      </w:r>
      <w:r>
        <w:rPr>
          <w:sz w:val="28"/>
          <w:szCs w:val="28"/>
        </w:rPr>
        <w:br/>
      </w:r>
      <w:r w:rsidRPr="00C838C1">
        <w:rPr>
          <w:sz w:val="28"/>
          <w:szCs w:val="28"/>
        </w:rPr>
        <w:t>по сравнению с ранее утвержденным объемом на 2017 го</w:t>
      </w:r>
      <w:r w:rsidR="00684A3F">
        <w:rPr>
          <w:sz w:val="28"/>
          <w:szCs w:val="28"/>
        </w:rPr>
        <w:t>д</w:t>
      </w:r>
      <w:r w:rsidRPr="00C838C1">
        <w:rPr>
          <w:sz w:val="28"/>
          <w:szCs w:val="28"/>
        </w:rPr>
        <w:t xml:space="preserve"> на </w:t>
      </w:r>
      <w:r w:rsidR="00684A3F">
        <w:rPr>
          <w:sz w:val="28"/>
          <w:szCs w:val="28"/>
        </w:rPr>
        <w:t xml:space="preserve">3,7 процента </w:t>
      </w:r>
      <w:r>
        <w:rPr>
          <w:sz w:val="28"/>
          <w:szCs w:val="28"/>
        </w:rPr>
        <w:t>обусло</w:t>
      </w:r>
      <w:r w:rsidR="00684A3F">
        <w:rPr>
          <w:sz w:val="28"/>
          <w:szCs w:val="28"/>
        </w:rPr>
        <w:t xml:space="preserve">влено усилением принимаемых мер </w:t>
      </w:r>
      <w:r w:rsidR="00D662CB">
        <w:rPr>
          <w:sz w:val="28"/>
          <w:szCs w:val="28"/>
        </w:rPr>
        <w:t xml:space="preserve">по погашению задолженности </w:t>
      </w:r>
      <w:r w:rsidR="00684A3F">
        <w:rPr>
          <w:sz w:val="28"/>
          <w:szCs w:val="28"/>
        </w:rPr>
        <w:t>по неналоговым платежам</w:t>
      </w:r>
      <w:r w:rsidRPr="00C838C1">
        <w:rPr>
          <w:sz w:val="28"/>
          <w:szCs w:val="28"/>
        </w:rPr>
        <w:t>.</w:t>
      </w:r>
    </w:p>
    <w:p w:rsidR="00C93C17" w:rsidRPr="00D96B65" w:rsidRDefault="00C93C17" w:rsidP="00C93C17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D96B65">
        <w:rPr>
          <w:bCs/>
          <w:sz w:val="28"/>
          <w:szCs w:val="28"/>
        </w:rPr>
        <w:t>Структура налоговых и неналоговых доходов представлена</w:t>
      </w:r>
      <w:r w:rsidRPr="00D96B65">
        <w:rPr>
          <w:bCs/>
          <w:sz w:val="28"/>
          <w:szCs w:val="28"/>
        </w:rPr>
        <w:br/>
        <w:t>в следующей таблице.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/>
      </w:tblPr>
      <w:tblGrid>
        <w:gridCol w:w="1928"/>
        <w:gridCol w:w="1101"/>
        <w:gridCol w:w="691"/>
        <w:gridCol w:w="1101"/>
        <w:gridCol w:w="687"/>
        <w:gridCol w:w="1240"/>
        <w:gridCol w:w="687"/>
        <w:gridCol w:w="1251"/>
        <w:gridCol w:w="676"/>
      </w:tblGrid>
      <w:tr w:rsidR="00C93C17" w:rsidRPr="00D96B65" w:rsidTr="00A904AC">
        <w:trPr>
          <w:cantSplit/>
          <w:trHeight w:val="246"/>
          <w:tblHeader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ind w:hanging="108"/>
              <w:jc w:val="center"/>
            </w:pPr>
            <w:r w:rsidRPr="00F920E1">
              <w:t>Наименование показателя</w:t>
            </w:r>
          </w:p>
        </w:tc>
        <w:tc>
          <w:tcPr>
            <w:tcW w:w="9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40" w:rsidRPr="00F920E1" w:rsidRDefault="00C93C17" w:rsidP="00A904AC">
            <w:pPr>
              <w:jc w:val="center"/>
            </w:pPr>
            <w:r w:rsidRPr="00F920E1">
              <w:t>2016 год</w:t>
            </w:r>
            <w:r w:rsidRPr="00F920E1">
              <w:br/>
            </w:r>
            <w:r w:rsidR="008D6E40" w:rsidRPr="00F920E1">
              <w:t>Р</w:t>
            </w:r>
            <w:r w:rsidR="00DB7EEA">
              <w:t>ешение</w:t>
            </w:r>
          </w:p>
          <w:p w:rsidR="00C93C17" w:rsidRPr="00F920E1" w:rsidRDefault="008D6E40" w:rsidP="00A904AC">
            <w:pPr>
              <w:jc w:val="center"/>
            </w:pPr>
            <w:r w:rsidRPr="00F920E1">
              <w:t>№ 3-42/01</w:t>
            </w:r>
          </w:p>
        </w:tc>
        <w:tc>
          <w:tcPr>
            <w:tcW w:w="30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>Проект</w:t>
            </w:r>
          </w:p>
        </w:tc>
      </w:tr>
      <w:tr w:rsidR="00C93C17" w:rsidRPr="00D96B65" w:rsidTr="00A904AC">
        <w:trPr>
          <w:cantSplit/>
          <w:trHeight w:val="315"/>
          <w:tblHeader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/>
        </w:tc>
        <w:tc>
          <w:tcPr>
            <w:tcW w:w="9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/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 xml:space="preserve">2017 год 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 xml:space="preserve">2018 год 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 xml:space="preserve">2019 год </w:t>
            </w:r>
          </w:p>
        </w:tc>
      </w:tr>
      <w:tr w:rsidR="00C93C17" w:rsidRPr="00D96B65" w:rsidTr="00A904AC">
        <w:trPr>
          <w:cantSplit/>
          <w:trHeight w:val="486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>млн. рублей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>млн. рублей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>млн. рублей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>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>млн. рублей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F920E1" w:rsidRDefault="00C93C17" w:rsidP="00A904AC">
            <w:pPr>
              <w:jc w:val="center"/>
            </w:pPr>
            <w:r w:rsidRPr="00F920E1">
              <w:t>%</w:t>
            </w:r>
          </w:p>
        </w:tc>
      </w:tr>
      <w:tr w:rsidR="00C93C17" w:rsidRPr="00D96B65" w:rsidTr="00A904AC">
        <w:trPr>
          <w:cantSplit/>
          <w:trHeight w:val="486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C93C17" w:rsidP="00A904AC">
            <w:r w:rsidRPr="00F920E1">
              <w:t>Налоговые доходы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8D6E40" w:rsidP="00A904AC">
            <w:pPr>
              <w:ind w:left="-13"/>
              <w:jc w:val="center"/>
            </w:pPr>
            <w:r w:rsidRPr="00F920E1">
              <w:t>605,1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AF6F9B" w:rsidP="00A904AC">
            <w:pPr>
              <w:ind w:left="-13"/>
              <w:jc w:val="center"/>
            </w:pPr>
            <w:r>
              <w:t>69,7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AF6F9B" w:rsidP="00A904AC">
            <w:pPr>
              <w:ind w:left="-13"/>
              <w:jc w:val="center"/>
            </w:pPr>
            <w:r>
              <w:t>583,5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B954CB" w:rsidP="00A904AC">
            <w:pPr>
              <w:ind w:left="-13"/>
              <w:jc w:val="center"/>
            </w:pPr>
            <w:r>
              <w:t>66,0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AF6F9B" w:rsidP="00A904AC">
            <w:pPr>
              <w:ind w:left="-13"/>
              <w:jc w:val="center"/>
            </w:pPr>
            <w:r>
              <w:t>613,7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B954CB" w:rsidP="00A904AC">
            <w:pPr>
              <w:ind w:left="-13"/>
              <w:jc w:val="center"/>
            </w:pPr>
            <w:r>
              <w:t>66,7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B954CB" w:rsidP="00A904AC">
            <w:pPr>
              <w:ind w:left="-13"/>
              <w:jc w:val="center"/>
            </w:pPr>
            <w:r>
              <w:t>637,1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B954CB" w:rsidP="00A904AC">
            <w:pPr>
              <w:ind w:left="-13"/>
              <w:jc w:val="center"/>
            </w:pPr>
            <w:r>
              <w:t>66,7</w:t>
            </w:r>
          </w:p>
        </w:tc>
      </w:tr>
      <w:tr w:rsidR="00C93C17" w:rsidRPr="00D96B65" w:rsidTr="00A904AC">
        <w:trPr>
          <w:cantSplit/>
          <w:trHeight w:val="33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C93C17" w:rsidP="00A904AC">
            <w:r w:rsidRPr="00F920E1">
              <w:t>Неналоговые доходы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8D6E40" w:rsidP="00A904AC">
            <w:pPr>
              <w:ind w:left="-13"/>
              <w:jc w:val="center"/>
            </w:pPr>
            <w:r w:rsidRPr="00F920E1">
              <w:t>262,7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8D6E40" w:rsidP="00A904AC">
            <w:pPr>
              <w:ind w:left="-13"/>
              <w:jc w:val="center"/>
            </w:pPr>
            <w:r w:rsidRPr="00F920E1">
              <w:t>30,3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AF6F9B" w:rsidP="00A904AC">
            <w:pPr>
              <w:ind w:left="-13"/>
              <w:jc w:val="center"/>
            </w:pPr>
            <w:r>
              <w:t>300,7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B954CB" w:rsidP="00A904AC">
            <w:pPr>
              <w:ind w:left="-13"/>
              <w:jc w:val="center"/>
            </w:pPr>
            <w:r>
              <w:t>34,0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AF6F9B" w:rsidP="00A904AC">
            <w:pPr>
              <w:ind w:left="-13"/>
              <w:jc w:val="center"/>
            </w:pPr>
            <w:r>
              <w:t>307,1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B954CB" w:rsidP="00A904AC">
            <w:pPr>
              <w:ind w:left="-13"/>
              <w:jc w:val="center"/>
            </w:pPr>
            <w:r>
              <w:t>33</w:t>
            </w:r>
            <w:r w:rsidR="00C93C17" w:rsidRPr="00F920E1">
              <w:t>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AF6F9B" w:rsidP="00A904AC">
            <w:pPr>
              <w:ind w:left="-13"/>
              <w:jc w:val="center"/>
            </w:pPr>
            <w:r>
              <w:t>318,3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F920E1" w:rsidRDefault="00B954CB" w:rsidP="00A904AC">
            <w:pPr>
              <w:ind w:left="-13"/>
              <w:jc w:val="center"/>
            </w:pPr>
            <w:r>
              <w:t>33,3</w:t>
            </w:r>
          </w:p>
        </w:tc>
      </w:tr>
    </w:tbl>
    <w:p w:rsidR="00A22DBE" w:rsidRPr="0052772A" w:rsidRDefault="00A22DBE" w:rsidP="00A22DBE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52772A">
        <w:rPr>
          <w:bCs/>
          <w:sz w:val="28"/>
          <w:szCs w:val="28"/>
        </w:rPr>
        <w:t xml:space="preserve">В 2017–2019 годах прогнозируется увеличение доли </w:t>
      </w:r>
      <w:r>
        <w:rPr>
          <w:bCs/>
          <w:sz w:val="28"/>
          <w:szCs w:val="28"/>
        </w:rPr>
        <w:t>не</w:t>
      </w:r>
      <w:r w:rsidRPr="0052772A">
        <w:rPr>
          <w:bCs/>
          <w:sz w:val="28"/>
          <w:szCs w:val="28"/>
        </w:rPr>
        <w:t xml:space="preserve">налоговых доходов, что связано с ограниченным </w:t>
      </w:r>
      <w:r>
        <w:rPr>
          <w:bCs/>
          <w:sz w:val="28"/>
          <w:szCs w:val="28"/>
        </w:rPr>
        <w:t xml:space="preserve">потенциалом роста </w:t>
      </w:r>
      <w:r w:rsidRPr="0052772A">
        <w:rPr>
          <w:bCs/>
          <w:sz w:val="28"/>
          <w:szCs w:val="28"/>
        </w:rPr>
        <w:t>налоговых доходов.</w:t>
      </w:r>
    </w:p>
    <w:p w:rsidR="00D74989" w:rsidRPr="006C5063" w:rsidRDefault="00D74989" w:rsidP="00D74989">
      <w:pPr>
        <w:ind w:firstLine="709"/>
        <w:jc w:val="both"/>
        <w:rPr>
          <w:sz w:val="28"/>
          <w:szCs w:val="28"/>
        </w:rPr>
      </w:pPr>
      <w:r w:rsidRPr="006C5063">
        <w:rPr>
          <w:sz w:val="28"/>
          <w:szCs w:val="28"/>
        </w:rPr>
        <w:t>Основными источниками формирования налоговых и неналоговых доходов бюджета городского округа в 201</w:t>
      </w:r>
      <w:r>
        <w:rPr>
          <w:sz w:val="28"/>
          <w:szCs w:val="28"/>
        </w:rPr>
        <w:t>7</w:t>
      </w:r>
      <w:r w:rsidRPr="006C5063">
        <w:rPr>
          <w:sz w:val="28"/>
          <w:szCs w:val="28"/>
        </w:rPr>
        <w:t xml:space="preserve"> году по-прежнему будут следующие: </w:t>
      </w:r>
    </w:p>
    <w:p w:rsidR="00D74989" w:rsidRPr="006C5063" w:rsidRDefault="00D74989" w:rsidP="00D74989">
      <w:pPr>
        <w:ind w:firstLine="709"/>
        <w:jc w:val="both"/>
        <w:rPr>
          <w:sz w:val="28"/>
          <w:szCs w:val="28"/>
        </w:rPr>
      </w:pPr>
      <w:r w:rsidRPr="006C5063">
        <w:rPr>
          <w:sz w:val="28"/>
          <w:szCs w:val="28"/>
        </w:rPr>
        <w:t xml:space="preserve">1) налог на доходы физических лиц, на долю которого приходится 45,1 </w:t>
      </w:r>
      <w:r w:rsidR="00A22DBE">
        <w:rPr>
          <w:sz w:val="28"/>
          <w:szCs w:val="28"/>
        </w:rPr>
        <w:t>процент</w:t>
      </w:r>
      <w:r w:rsidRPr="006C5063">
        <w:rPr>
          <w:sz w:val="28"/>
          <w:szCs w:val="28"/>
        </w:rPr>
        <w:t xml:space="preserve"> налоговых и неналоговых доходов (398,6 млн. рублей);</w:t>
      </w:r>
    </w:p>
    <w:p w:rsidR="00D74989" w:rsidRPr="000320F1" w:rsidRDefault="00D74989" w:rsidP="00D74989">
      <w:pPr>
        <w:ind w:firstLine="709"/>
        <w:jc w:val="both"/>
        <w:rPr>
          <w:sz w:val="28"/>
          <w:szCs w:val="28"/>
        </w:rPr>
      </w:pPr>
      <w:r w:rsidRPr="000320F1">
        <w:rPr>
          <w:sz w:val="28"/>
          <w:szCs w:val="28"/>
        </w:rPr>
        <w:t xml:space="preserve">3) доходы от использования имущества, находящегося в муниципальной собственности – 30,1 </w:t>
      </w:r>
      <w:r w:rsidR="00A22DBE">
        <w:rPr>
          <w:sz w:val="28"/>
          <w:szCs w:val="28"/>
        </w:rPr>
        <w:t>процент</w:t>
      </w:r>
      <w:r w:rsidRPr="000320F1">
        <w:rPr>
          <w:sz w:val="28"/>
          <w:szCs w:val="28"/>
        </w:rPr>
        <w:t xml:space="preserve"> налоговых и неналоговых доходов (266,5 млн. рублей);</w:t>
      </w:r>
    </w:p>
    <w:p w:rsidR="00D74989" w:rsidRPr="000320F1" w:rsidRDefault="00D74989" w:rsidP="00D74989">
      <w:pPr>
        <w:ind w:firstLine="709"/>
        <w:jc w:val="both"/>
        <w:rPr>
          <w:sz w:val="28"/>
          <w:szCs w:val="28"/>
        </w:rPr>
      </w:pPr>
      <w:r w:rsidRPr="000320F1">
        <w:rPr>
          <w:sz w:val="28"/>
          <w:szCs w:val="28"/>
        </w:rPr>
        <w:t xml:space="preserve">2) единый налог на вмененный доход – 9,6 </w:t>
      </w:r>
      <w:r w:rsidR="00A22DBE">
        <w:rPr>
          <w:sz w:val="28"/>
          <w:szCs w:val="28"/>
        </w:rPr>
        <w:t>процентов</w:t>
      </w:r>
      <w:r w:rsidRPr="000320F1">
        <w:rPr>
          <w:sz w:val="28"/>
          <w:szCs w:val="28"/>
        </w:rPr>
        <w:t xml:space="preserve"> налоговых и неналоговых доходов (85 млн. рублей)</w:t>
      </w:r>
      <w:r>
        <w:rPr>
          <w:sz w:val="28"/>
          <w:szCs w:val="28"/>
        </w:rPr>
        <w:t>.</w:t>
      </w:r>
      <w:r w:rsidRPr="000320F1">
        <w:rPr>
          <w:sz w:val="28"/>
          <w:szCs w:val="28"/>
        </w:rPr>
        <w:t xml:space="preserve"> </w:t>
      </w:r>
    </w:p>
    <w:p w:rsidR="00C93C17" w:rsidRPr="00E47EB3" w:rsidRDefault="00C93C17" w:rsidP="00C93C17">
      <w:pPr>
        <w:ind w:firstLine="709"/>
        <w:jc w:val="both"/>
        <w:rPr>
          <w:bCs/>
          <w:sz w:val="28"/>
          <w:szCs w:val="28"/>
        </w:rPr>
      </w:pPr>
      <w:r w:rsidRPr="00E47EB3">
        <w:rPr>
          <w:bCs/>
          <w:sz w:val="28"/>
          <w:szCs w:val="28"/>
        </w:rPr>
        <w:t>Структура налоговых и неналоговых доходов в 2018–2019 годах прогнозируется без существенных изменений.</w:t>
      </w:r>
    </w:p>
    <w:p w:rsidR="00C93C17" w:rsidRPr="00E47EB3" w:rsidRDefault="00C93C17" w:rsidP="00C93C17">
      <w:pPr>
        <w:ind w:firstLine="709"/>
        <w:jc w:val="both"/>
        <w:rPr>
          <w:bCs/>
          <w:sz w:val="28"/>
          <w:szCs w:val="28"/>
        </w:rPr>
      </w:pPr>
      <w:r w:rsidRPr="00E47EB3">
        <w:rPr>
          <w:bCs/>
          <w:sz w:val="28"/>
          <w:szCs w:val="28"/>
        </w:rPr>
        <w:t xml:space="preserve">К 2018 году возрастет доля </w:t>
      </w:r>
      <w:r w:rsidRPr="00E47EB3">
        <w:rPr>
          <w:sz w:val="28"/>
          <w:szCs w:val="28"/>
        </w:rPr>
        <w:t>налога на доходы физических лиц</w:t>
      </w:r>
      <w:r w:rsidRPr="00E47EB3">
        <w:rPr>
          <w:sz w:val="28"/>
          <w:szCs w:val="28"/>
        </w:rPr>
        <w:br/>
      </w:r>
      <w:r w:rsidRPr="00E47EB3">
        <w:rPr>
          <w:bCs/>
          <w:sz w:val="28"/>
          <w:szCs w:val="28"/>
        </w:rPr>
        <w:t xml:space="preserve">до </w:t>
      </w:r>
      <w:r w:rsidR="00162624">
        <w:rPr>
          <w:bCs/>
          <w:sz w:val="28"/>
          <w:szCs w:val="28"/>
        </w:rPr>
        <w:t>46</w:t>
      </w:r>
      <w:r w:rsidR="000566CA">
        <w:rPr>
          <w:bCs/>
          <w:sz w:val="28"/>
          <w:szCs w:val="28"/>
        </w:rPr>
        <w:t>,2</w:t>
      </w:r>
      <w:r w:rsidRPr="00E47EB3">
        <w:rPr>
          <w:bCs/>
          <w:sz w:val="28"/>
          <w:szCs w:val="28"/>
        </w:rPr>
        <w:t xml:space="preserve"> процента, при этом снизится доля </w:t>
      </w:r>
      <w:r w:rsidR="00162624" w:rsidRPr="00E47EB3">
        <w:rPr>
          <w:bCs/>
          <w:sz w:val="28"/>
          <w:szCs w:val="28"/>
        </w:rPr>
        <w:t>доходов от исполь</w:t>
      </w:r>
      <w:r w:rsidR="00162624">
        <w:rPr>
          <w:bCs/>
          <w:sz w:val="28"/>
          <w:szCs w:val="28"/>
        </w:rPr>
        <w:t xml:space="preserve">зования имущества, находящегося </w:t>
      </w:r>
      <w:r w:rsidR="00162624" w:rsidRPr="00E47EB3">
        <w:rPr>
          <w:bCs/>
          <w:sz w:val="28"/>
          <w:szCs w:val="28"/>
        </w:rPr>
        <w:t xml:space="preserve">в </w:t>
      </w:r>
      <w:r w:rsidR="00980B41">
        <w:rPr>
          <w:bCs/>
          <w:sz w:val="28"/>
          <w:szCs w:val="28"/>
        </w:rPr>
        <w:t>муниципальной</w:t>
      </w:r>
      <w:r w:rsidR="00162624" w:rsidRPr="00E47EB3">
        <w:rPr>
          <w:bCs/>
          <w:sz w:val="28"/>
          <w:szCs w:val="28"/>
        </w:rPr>
        <w:t xml:space="preserve"> собственности – до </w:t>
      </w:r>
      <w:r w:rsidR="00162624">
        <w:rPr>
          <w:bCs/>
          <w:sz w:val="28"/>
          <w:szCs w:val="28"/>
        </w:rPr>
        <w:t>29,8</w:t>
      </w:r>
      <w:r w:rsidR="00162624" w:rsidRPr="00E47EB3">
        <w:rPr>
          <w:bCs/>
          <w:sz w:val="28"/>
          <w:szCs w:val="28"/>
        </w:rPr>
        <w:t xml:space="preserve"> процента</w:t>
      </w:r>
      <w:r w:rsidR="00980B41">
        <w:rPr>
          <w:bCs/>
          <w:sz w:val="28"/>
          <w:szCs w:val="28"/>
        </w:rPr>
        <w:t>,</w:t>
      </w:r>
      <w:r w:rsidR="00162624">
        <w:rPr>
          <w:bCs/>
          <w:sz w:val="28"/>
          <w:szCs w:val="28"/>
        </w:rPr>
        <w:t xml:space="preserve"> единого налога </w:t>
      </w:r>
      <w:r w:rsidR="00162624" w:rsidRPr="00162624">
        <w:rPr>
          <w:sz w:val="28"/>
          <w:szCs w:val="28"/>
        </w:rPr>
        <w:t>на вмененный доход</w:t>
      </w:r>
      <w:r w:rsidR="00162624" w:rsidRPr="00E47EB3">
        <w:rPr>
          <w:bCs/>
          <w:sz w:val="28"/>
          <w:szCs w:val="28"/>
        </w:rPr>
        <w:t xml:space="preserve"> </w:t>
      </w:r>
      <w:r w:rsidR="00162624">
        <w:rPr>
          <w:bCs/>
          <w:sz w:val="28"/>
          <w:szCs w:val="28"/>
        </w:rPr>
        <w:t>до 9,2 процента</w:t>
      </w:r>
      <w:r w:rsidRPr="00E47EB3">
        <w:rPr>
          <w:bCs/>
          <w:sz w:val="28"/>
          <w:szCs w:val="28"/>
        </w:rPr>
        <w:t>.</w:t>
      </w:r>
    </w:p>
    <w:p w:rsidR="00C93C17" w:rsidRPr="00D36D82" w:rsidRDefault="00C93C17" w:rsidP="00D36D82">
      <w:pPr>
        <w:ind w:firstLine="709"/>
        <w:jc w:val="both"/>
        <w:rPr>
          <w:bCs/>
          <w:sz w:val="28"/>
          <w:szCs w:val="28"/>
        </w:rPr>
      </w:pPr>
      <w:r w:rsidRPr="00E47EB3">
        <w:rPr>
          <w:bCs/>
          <w:sz w:val="28"/>
          <w:szCs w:val="28"/>
        </w:rPr>
        <w:lastRenderedPageBreak/>
        <w:t xml:space="preserve">Особенности расчетов поступлений налоговых и неналоговых доходов бюджета </w:t>
      </w:r>
      <w:r w:rsidR="0088650D">
        <w:rPr>
          <w:bCs/>
          <w:sz w:val="28"/>
          <w:szCs w:val="28"/>
        </w:rPr>
        <w:t xml:space="preserve">городского округа </w:t>
      </w:r>
      <w:r w:rsidRPr="00E47EB3">
        <w:rPr>
          <w:bCs/>
          <w:sz w:val="28"/>
          <w:szCs w:val="28"/>
        </w:rPr>
        <w:t>по отдельным статьям классификации доходов бюджета представлены ниже.</w:t>
      </w:r>
    </w:p>
    <w:p w:rsidR="00C93C17" w:rsidRPr="00187655" w:rsidRDefault="00C93C17" w:rsidP="00C93C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</w:p>
    <w:p w:rsidR="00C93C17" w:rsidRPr="00AB1ACF" w:rsidRDefault="00C93C17" w:rsidP="00C93C17">
      <w:pPr>
        <w:jc w:val="center"/>
        <w:rPr>
          <w:b/>
          <w:sz w:val="28"/>
          <w:szCs w:val="28"/>
        </w:rPr>
      </w:pPr>
      <w:r w:rsidRPr="00AB1ACF">
        <w:rPr>
          <w:b/>
          <w:sz w:val="28"/>
          <w:szCs w:val="28"/>
        </w:rPr>
        <w:t>Налог на доходы физических лиц</w:t>
      </w:r>
    </w:p>
    <w:p w:rsidR="00C93C17" w:rsidRPr="00AB1ACF" w:rsidRDefault="00C93C17" w:rsidP="00C93C17">
      <w:pPr>
        <w:ind w:firstLine="851"/>
        <w:jc w:val="center"/>
        <w:rPr>
          <w:b/>
          <w:sz w:val="28"/>
          <w:szCs w:val="28"/>
        </w:rPr>
      </w:pPr>
    </w:p>
    <w:p w:rsidR="00C93C17" w:rsidRPr="00AB1ACF" w:rsidRDefault="00C93C17" w:rsidP="00C93C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CF">
        <w:rPr>
          <w:sz w:val="28"/>
          <w:szCs w:val="28"/>
        </w:rPr>
        <w:t>Планируемые поступления налога на доходы физических лиц характеризуются следующими данными: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3"/>
        <w:gridCol w:w="1651"/>
        <w:gridCol w:w="1103"/>
        <w:gridCol w:w="1236"/>
        <w:gridCol w:w="1099"/>
      </w:tblGrid>
      <w:tr w:rsidR="00C93C17" w:rsidRPr="00AB1ACF" w:rsidTr="00A904AC">
        <w:trPr>
          <w:cantSplit/>
          <w:tblHeader/>
        </w:trPr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B1ACF" w:rsidRDefault="00C93C17" w:rsidP="00A904AC">
            <w:pPr>
              <w:jc w:val="center"/>
              <w:rPr>
                <w:szCs w:val="28"/>
              </w:rPr>
            </w:pPr>
            <w:r w:rsidRPr="00AB1ACF">
              <w:rPr>
                <w:szCs w:val="28"/>
              </w:rPr>
              <w:t>Наименование показателя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B1ACF" w:rsidRDefault="00C93C17" w:rsidP="00A904AC">
            <w:pPr>
              <w:jc w:val="center"/>
              <w:rPr>
                <w:szCs w:val="28"/>
              </w:rPr>
            </w:pPr>
            <w:r w:rsidRPr="00AB1ACF">
              <w:rPr>
                <w:szCs w:val="28"/>
              </w:rPr>
              <w:t xml:space="preserve">2016 год </w:t>
            </w:r>
          </w:p>
          <w:p w:rsidR="00DB7EEA" w:rsidRPr="00F920E1" w:rsidRDefault="00DB7EEA" w:rsidP="00DB7EEA">
            <w:pPr>
              <w:jc w:val="center"/>
            </w:pPr>
            <w:r w:rsidRPr="00F920E1">
              <w:t xml:space="preserve">Решение </w:t>
            </w:r>
          </w:p>
          <w:p w:rsidR="00C93C17" w:rsidRPr="00AB1ACF" w:rsidRDefault="00DB7EEA" w:rsidP="00DB7EEA">
            <w:pPr>
              <w:jc w:val="center"/>
              <w:rPr>
                <w:szCs w:val="28"/>
              </w:rPr>
            </w:pPr>
            <w:r w:rsidRPr="00F920E1">
              <w:t>№ 3-42/01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B1ACF" w:rsidRDefault="00C93C17" w:rsidP="00A904AC">
            <w:pPr>
              <w:jc w:val="center"/>
              <w:rPr>
                <w:szCs w:val="28"/>
              </w:rPr>
            </w:pPr>
            <w:r w:rsidRPr="00AB1ACF">
              <w:rPr>
                <w:szCs w:val="28"/>
              </w:rPr>
              <w:t>Проект</w:t>
            </w:r>
          </w:p>
        </w:tc>
      </w:tr>
      <w:tr w:rsidR="00C93C17" w:rsidRPr="00AB1ACF" w:rsidTr="00A904AC">
        <w:trPr>
          <w:tblHeader/>
        </w:trPr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B1ACF" w:rsidRDefault="00C93C17" w:rsidP="00A904AC">
            <w:pPr>
              <w:rPr>
                <w:szCs w:val="28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B1ACF" w:rsidRDefault="00C93C17" w:rsidP="00A904AC">
            <w:pPr>
              <w:rPr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B1ACF" w:rsidRDefault="00C93C17" w:rsidP="00A904AC">
            <w:pPr>
              <w:jc w:val="center"/>
              <w:rPr>
                <w:szCs w:val="28"/>
              </w:rPr>
            </w:pPr>
            <w:r w:rsidRPr="00AB1ACF">
              <w:rPr>
                <w:szCs w:val="28"/>
              </w:rPr>
              <w:t xml:space="preserve">2017 год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B1ACF" w:rsidRDefault="00C93C17" w:rsidP="00A904AC">
            <w:pPr>
              <w:jc w:val="center"/>
              <w:rPr>
                <w:szCs w:val="28"/>
              </w:rPr>
            </w:pPr>
            <w:r w:rsidRPr="00AB1ACF">
              <w:rPr>
                <w:szCs w:val="28"/>
              </w:rPr>
              <w:t>2018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B1ACF" w:rsidRDefault="00C93C17" w:rsidP="00A904AC">
            <w:pPr>
              <w:jc w:val="center"/>
              <w:rPr>
                <w:szCs w:val="28"/>
              </w:rPr>
            </w:pPr>
            <w:r w:rsidRPr="00AB1ACF">
              <w:rPr>
                <w:szCs w:val="28"/>
              </w:rPr>
              <w:t>2019 год</w:t>
            </w:r>
          </w:p>
        </w:tc>
      </w:tr>
      <w:tr w:rsidR="00C93C17" w:rsidRPr="00AB1ACF" w:rsidTr="00A904A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05119" w:rsidRDefault="00C93C17" w:rsidP="00A904AC">
            <w:pPr>
              <w:jc w:val="center"/>
              <w:rPr>
                <w:szCs w:val="28"/>
              </w:rPr>
            </w:pPr>
            <w:r w:rsidRPr="00305119">
              <w:rPr>
                <w:szCs w:val="28"/>
              </w:rPr>
              <w:t>Налог на доходы физических лиц</w:t>
            </w:r>
          </w:p>
        </w:tc>
      </w:tr>
      <w:tr w:rsidR="00C93C17" w:rsidRPr="00AB1ACF" w:rsidTr="00A904AC">
        <w:trPr>
          <w:cantSplit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AB1ACF" w:rsidRDefault="00C93C17" w:rsidP="00A904AC">
            <w:pPr>
              <w:jc w:val="both"/>
              <w:rPr>
                <w:szCs w:val="28"/>
              </w:rPr>
            </w:pPr>
            <w:r w:rsidRPr="00AB1ACF">
              <w:rPr>
                <w:szCs w:val="28"/>
              </w:rPr>
              <w:t>Объем доходов, млн. рублей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DB7EEA" w:rsidP="00A904AC">
            <w:pPr>
              <w:ind w:left="-109" w:right="-112"/>
              <w:jc w:val="center"/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DB7EEA" w:rsidP="00A904AC">
            <w:pPr>
              <w:ind w:left="-106" w:right="-69"/>
              <w:jc w:val="center"/>
              <w:rPr>
                <w:szCs w:val="28"/>
              </w:rPr>
            </w:pPr>
            <w:r>
              <w:rPr>
                <w:szCs w:val="28"/>
              </w:rPr>
              <w:t>398,6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DB7EEA" w:rsidP="00A904AC">
            <w:pPr>
              <w:ind w:left="-86" w:right="-78"/>
              <w:jc w:val="center"/>
              <w:rPr>
                <w:szCs w:val="28"/>
              </w:rPr>
            </w:pPr>
            <w:r>
              <w:rPr>
                <w:szCs w:val="28"/>
              </w:rPr>
              <w:t>425,4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DB7EEA" w:rsidP="00A904AC">
            <w:pPr>
              <w:ind w:left="-108" w:right="-144"/>
              <w:jc w:val="center"/>
              <w:rPr>
                <w:szCs w:val="28"/>
              </w:rPr>
            </w:pPr>
            <w:r>
              <w:rPr>
                <w:szCs w:val="28"/>
              </w:rPr>
              <w:t>445,2</w:t>
            </w:r>
          </w:p>
        </w:tc>
      </w:tr>
      <w:tr w:rsidR="00C93C17" w:rsidRPr="00AB1ACF" w:rsidTr="00A904AC">
        <w:trPr>
          <w:cantSplit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AB1ACF" w:rsidRDefault="00C93C17" w:rsidP="00A904AC">
            <w:pPr>
              <w:rPr>
                <w:szCs w:val="28"/>
              </w:rPr>
            </w:pPr>
            <w:r w:rsidRPr="00AB1ACF">
              <w:rPr>
                <w:szCs w:val="28"/>
              </w:rPr>
              <w:t>Доля в общем объеме налоговых</w:t>
            </w:r>
          </w:p>
          <w:p w:rsidR="00C93C17" w:rsidRPr="00AB1ACF" w:rsidRDefault="00C93C17" w:rsidP="00A904AC">
            <w:pPr>
              <w:rPr>
                <w:szCs w:val="28"/>
              </w:rPr>
            </w:pPr>
            <w:r w:rsidRPr="00AB1ACF">
              <w:rPr>
                <w:szCs w:val="28"/>
              </w:rPr>
              <w:t>и неналоговых доходов бюджета, 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DB7EEA" w:rsidP="00A904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DB7EEA" w:rsidP="00A904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0566CA" w:rsidP="00A904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0566CA" w:rsidP="00A904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46,6</w:t>
            </w:r>
          </w:p>
        </w:tc>
      </w:tr>
      <w:tr w:rsidR="00C93C17" w:rsidRPr="00AB1ACF" w:rsidTr="00A904AC">
        <w:trPr>
          <w:cantSplit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Default="00C93C17" w:rsidP="00A904AC">
            <w:pPr>
              <w:rPr>
                <w:szCs w:val="28"/>
              </w:rPr>
            </w:pPr>
            <w:r w:rsidRPr="00AB1ACF">
              <w:rPr>
                <w:szCs w:val="28"/>
              </w:rPr>
              <w:t xml:space="preserve">Прирост (снижение) </w:t>
            </w:r>
          </w:p>
          <w:p w:rsidR="00C93C17" w:rsidRPr="00AB1ACF" w:rsidRDefault="00C93C17" w:rsidP="00A904AC">
            <w:pPr>
              <w:rPr>
                <w:szCs w:val="28"/>
              </w:rPr>
            </w:pPr>
            <w:r w:rsidRPr="00AB1ACF">
              <w:rPr>
                <w:szCs w:val="28"/>
              </w:rPr>
              <w:t>к предыдущему году, млн. рублей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AB1ACF" w:rsidRDefault="00C93C17" w:rsidP="00A904AC">
            <w:pPr>
              <w:jc w:val="center"/>
              <w:rPr>
                <w:szCs w:val="28"/>
              </w:rPr>
            </w:pPr>
            <w:r w:rsidRPr="00AB1ACF">
              <w:rPr>
                <w:szCs w:val="28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0566CA" w:rsidP="00A904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-16,4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0566CA" w:rsidP="00A904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AB1ACF" w:rsidRDefault="000566CA" w:rsidP="00A904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19,8</w:t>
            </w:r>
          </w:p>
        </w:tc>
      </w:tr>
    </w:tbl>
    <w:p w:rsidR="00BC69F2" w:rsidRDefault="00BC69F2" w:rsidP="00BC69F2">
      <w:pPr>
        <w:ind w:firstLine="709"/>
        <w:jc w:val="both"/>
        <w:rPr>
          <w:sz w:val="28"/>
          <w:szCs w:val="28"/>
        </w:rPr>
      </w:pPr>
      <w:r w:rsidRPr="00A8562B">
        <w:rPr>
          <w:sz w:val="28"/>
          <w:szCs w:val="28"/>
        </w:rPr>
        <w:t>Поступление налога на доходы физических лиц в бюджет городского округа в 2017 году прогнозируется в сумме 398,6 млн. рублей, меньше утвержденного плана 2016 года на 16,4 млн. рублей или на 4,0 %. Такое снижение поступлений связан</w:t>
      </w:r>
      <w:r>
        <w:rPr>
          <w:sz w:val="28"/>
          <w:szCs w:val="28"/>
        </w:rPr>
        <w:t>о</w:t>
      </w:r>
      <w:r w:rsidRPr="00A8562B">
        <w:rPr>
          <w:sz w:val="28"/>
          <w:szCs w:val="28"/>
        </w:rPr>
        <w:t xml:space="preserve"> с уменьшением норматива отчислений в бюджет городского округа на 2 % (с 30 % до 28 %).</w:t>
      </w:r>
    </w:p>
    <w:p w:rsidR="00C93C17" w:rsidRPr="00BC69F2" w:rsidRDefault="00BC69F2" w:rsidP="00BC69F2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Прогноз поступлений налога </w:t>
      </w:r>
      <w:r w:rsidR="00C93C17" w:rsidRPr="00AB1ACF">
        <w:rPr>
          <w:rFonts w:cs="Arial"/>
          <w:sz w:val="28"/>
          <w:szCs w:val="28"/>
        </w:rPr>
        <w:t>в 2018 году опред</w:t>
      </w:r>
      <w:r>
        <w:rPr>
          <w:rFonts w:cs="Arial"/>
          <w:sz w:val="28"/>
          <w:szCs w:val="28"/>
        </w:rPr>
        <w:t>елен с ростом к 2</w:t>
      </w:r>
      <w:r w:rsidR="0029658F">
        <w:rPr>
          <w:rFonts w:cs="Arial"/>
          <w:sz w:val="28"/>
          <w:szCs w:val="28"/>
        </w:rPr>
        <w:t>017 году на</w:t>
      </w:r>
      <w:r w:rsidR="00C93C17" w:rsidRPr="00AB1ACF">
        <w:rPr>
          <w:rFonts w:cs="Arial"/>
          <w:sz w:val="28"/>
          <w:szCs w:val="28"/>
        </w:rPr>
        <w:t xml:space="preserve"> </w:t>
      </w:r>
      <w:r w:rsidR="0029658F">
        <w:rPr>
          <w:rFonts w:cs="Arial"/>
          <w:sz w:val="28"/>
          <w:szCs w:val="28"/>
        </w:rPr>
        <w:t xml:space="preserve">6,7 процента, в 2019 году – </w:t>
      </w:r>
      <w:r w:rsidR="00C93C17" w:rsidRPr="00AB1ACF">
        <w:rPr>
          <w:rFonts w:cs="Arial"/>
          <w:sz w:val="28"/>
          <w:szCs w:val="28"/>
        </w:rPr>
        <w:t>с ростом к 2018 году на 4,7 процента.</w:t>
      </w:r>
    </w:p>
    <w:p w:rsidR="00C93C17" w:rsidRPr="003366BE" w:rsidRDefault="00C93C17" w:rsidP="00C93C17">
      <w:pPr>
        <w:spacing w:line="252" w:lineRule="auto"/>
        <w:ind w:firstLine="709"/>
        <w:jc w:val="both"/>
        <w:rPr>
          <w:sz w:val="28"/>
          <w:szCs w:val="28"/>
        </w:rPr>
      </w:pPr>
      <w:r w:rsidRPr="00AB1ACF">
        <w:rPr>
          <w:sz w:val="28"/>
          <w:szCs w:val="28"/>
        </w:rPr>
        <w:t>Прогноз поступления налога на доходы физических лиц</w:t>
      </w:r>
      <w:r w:rsidRPr="00AB1ACF">
        <w:rPr>
          <w:sz w:val="28"/>
          <w:szCs w:val="28"/>
        </w:rPr>
        <w:br/>
        <w:t xml:space="preserve">на 2017–2019 годы составлен на основе прогнозируемого размера фонда заработной платы на среднесрочный период с учетом ожидаемого увеличения </w:t>
      </w:r>
      <w:r>
        <w:rPr>
          <w:sz w:val="28"/>
          <w:szCs w:val="28"/>
        </w:rPr>
        <w:t>объема</w:t>
      </w:r>
      <w:r w:rsidRPr="00AB1ACF">
        <w:rPr>
          <w:sz w:val="28"/>
          <w:szCs w:val="28"/>
        </w:rPr>
        <w:t xml:space="preserve"> социальных, имущественных и стандартных налоговых вычетов</w:t>
      </w:r>
      <w:r>
        <w:rPr>
          <w:sz w:val="28"/>
          <w:szCs w:val="28"/>
        </w:rPr>
        <w:t>,</w:t>
      </w:r>
      <w:r w:rsidRPr="00AB1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уменьшающих налогооблагаемую </w:t>
      </w:r>
      <w:r w:rsidRPr="003366BE">
        <w:rPr>
          <w:sz w:val="28"/>
          <w:szCs w:val="28"/>
        </w:rPr>
        <w:t>базу</w:t>
      </w:r>
      <w:r w:rsidR="003366BE" w:rsidRPr="003366BE">
        <w:rPr>
          <w:sz w:val="28"/>
          <w:szCs w:val="28"/>
        </w:rPr>
        <w:t xml:space="preserve"> с учетом норматива отчислений в бюджет городского округа в размере 28 %.</w:t>
      </w:r>
    </w:p>
    <w:p w:rsidR="00523F5C" w:rsidRDefault="00523F5C" w:rsidP="00523F5C">
      <w:pPr>
        <w:pStyle w:val="2"/>
        <w:ind w:firstLine="0"/>
      </w:pPr>
    </w:p>
    <w:p w:rsidR="00523F5C" w:rsidRPr="006F00E2" w:rsidRDefault="00523F5C" w:rsidP="00523F5C">
      <w:pPr>
        <w:pStyle w:val="2"/>
        <w:ind w:firstLine="0"/>
      </w:pPr>
      <w:r w:rsidRPr="006F00E2">
        <w:t>Налоги на совокупный доход</w:t>
      </w:r>
    </w:p>
    <w:p w:rsidR="00C93C17" w:rsidRDefault="00C93C17" w:rsidP="00C93C17">
      <w:pPr>
        <w:shd w:val="clear" w:color="auto" w:fill="FFFFFF"/>
        <w:spacing w:line="252" w:lineRule="auto"/>
        <w:ind w:firstLine="709"/>
        <w:contextualSpacing/>
        <w:jc w:val="center"/>
        <w:rPr>
          <w:b/>
          <w:bCs/>
          <w:sz w:val="28"/>
          <w:szCs w:val="28"/>
          <w:highlight w:val="yellow"/>
        </w:rPr>
      </w:pPr>
    </w:p>
    <w:p w:rsidR="000607D0" w:rsidRPr="00523F5C" w:rsidRDefault="006E70DA" w:rsidP="006E70DA">
      <w:pPr>
        <w:shd w:val="clear" w:color="auto" w:fill="FFFFFF"/>
        <w:spacing w:line="307" w:lineRule="exact"/>
        <w:jc w:val="center"/>
        <w:outlineLvl w:val="0"/>
        <w:rPr>
          <w:sz w:val="28"/>
          <w:szCs w:val="28"/>
        </w:rPr>
      </w:pPr>
      <w:r w:rsidRPr="00523F5C">
        <w:rPr>
          <w:sz w:val="28"/>
          <w:szCs w:val="28"/>
        </w:rPr>
        <w:t xml:space="preserve">Единый налог на вмененный </w:t>
      </w:r>
    </w:p>
    <w:p w:rsidR="006E70DA" w:rsidRPr="00523F5C" w:rsidRDefault="006E70DA" w:rsidP="006E70DA">
      <w:pPr>
        <w:shd w:val="clear" w:color="auto" w:fill="FFFFFF"/>
        <w:spacing w:line="307" w:lineRule="exact"/>
        <w:jc w:val="center"/>
        <w:outlineLvl w:val="0"/>
        <w:rPr>
          <w:sz w:val="28"/>
          <w:szCs w:val="28"/>
        </w:rPr>
      </w:pPr>
      <w:r w:rsidRPr="00523F5C">
        <w:rPr>
          <w:sz w:val="28"/>
          <w:szCs w:val="28"/>
        </w:rPr>
        <w:t>доход</w:t>
      </w:r>
      <w:r w:rsidR="000607D0" w:rsidRPr="00523F5C">
        <w:rPr>
          <w:sz w:val="28"/>
          <w:szCs w:val="28"/>
        </w:rPr>
        <w:t xml:space="preserve"> для отдельных видов деятельности</w:t>
      </w:r>
    </w:p>
    <w:p w:rsidR="006E70DA" w:rsidRPr="005E683D" w:rsidRDefault="006E70DA" w:rsidP="005E68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7531">
        <w:rPr>
          <w:bCs/>
          <w:sz w:val="28"/>
          <w:szCs w:val="28"/>
        </w:rPr>
        <w:t xml:space="preserve">Прогноз поступлений </w:t>
      </w:r>
      <w:r w:rsidR="00A33C47">
        <w:rPr>
          <w:bCs/>
          <w:sz w:val="28"/>
          <w:szCs w:val="28"/>
        </w:rPr>
        <w:t>единого</w:t>
      </w:r>
      <w:r w:rsidRPr="00BD7531">
        <w:rPr>
          <w:bCs/>
          <w:sz w:val="28"/>
          <w:szCs w:val="28"/>
        </w:rPr>
        <w:t xml:space="preserve"> налога характеризуется следующими показателями: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701"/>
        <w:gridCol w:w="1134"/>
        <w:gridCol w:w="1134"/>
        <w:gridCol w:w="1134"/>
      </w:tblGrid>
      <w:tr w:rsidR="006E70DA" w:rsidRPr="00BD7531" w:rsidTr="00523F5C">
        <w:tc>
          <w:tcPr>
            <w:tcW w:w="4536" w:type="dxa"/>
            <w:vMerge w:val="restart"/>
            <w:shd w:val="clear" w:color="auto" w:fill="auto"/>
            <w:vAlign w:val="center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84C91" w:rsidRPr="00F920E1" w:rsidRDefault="006E70DA" w:rsidP="00E84C91">
            <w:pPr>
              <w:jc w:val="center"/>
            </w:pPr>
            <w:r w:rsidRPr="00BD7531">
              <w:t xml:space="preserve">2016 год </w:t>
            </w:r>
            <w:r w:rsidRPr="00BD7531">
              <w:br/>
            </w:r>
            <w:r w:rsidR="00E84C91" w:rsidRPr="00F920E1">
              <w:t xml:space="preserve">Решение </w:t>
            </w:r>
          </w:p>
          <w:p w:rsidR="006E70DA" w:rsidRPr="00BD7531" w:rsidRDefault="00E84C91" w:rsidP="00E84C91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F920E1">
              <w:t>№ 3-42/01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Проект</w:t>
            </w:r>
          </w:p>
        </w:tc>
      </w:tr>
      <w:tr w:rsidR="006E70DA" w:rsidRPr="00BD7531" w:rsidTr="00523F5C">
        <w:trPr>
          <w:trHeight w:val="462"/>
        </w:trPr>
        <w:tc>
          <w:tcPr>
            <w:tcW w:w="4536" w:type="dxa"/>
            <w:vMerge/>
            <w:shd w:val="clear" w:color="auto" w:fill="auto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2019 год</w:t>
            </w:r>
          </w:p>
        </w:tc>
      </w:tr>
      <w:tr w:rsidR="006E70DA" w:rsidRPr="00BD7531" w:rsidTr="00523F5C">
        <w:tc>
          <w:tcPr>
            <w:tcW w:w="9639" w:type="dxa"/>
            <w:gridSpan w:val="5"/>
            <w:shd w:val="clear" w:color="auto" w:fill="auto"/>
          </w:tcPr>
          <w:p w:rsidR="006E70DA" w:rsidRPr="009C669C" w:rsidRDefault="000607D0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Единый налог на вмененный доход</w:t>
            </w:r>
          </w:p>
        </w:tc>
      </w:tr>
      <w:tr w:rsidR="006E70DA" w:rsidRPr="00BD7531" w:rsidTr="00523F5C">
        <w:tc>
          <w:tcPr>
            <w:tcW w:w="4536" w:type="dxa"/>
            <w:shd w:val="clear" w:color="auto" w:fill="auto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</w:pPr>
            <w:r w:rsidRPr="00BD7531">
              <w:t>Объем доходов, млн. рублей</w:t>
            </w:r>
          </w:p>
        </w:tc>
        <w:tc>
          <w:tcPr>
            <w:tcW w:w="1701" w:type="dxa"/>
            <w:shd w:val="clear" w:color="auto" w:fill="auto"/>
          </w:tcPr>
          <w:p w:rsidR="006E70DA" w:rsidRPr="00BD7531" w:rsidRDefault="00E84C91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93,1</w:t>
            </w:r>
          </w:p>
        </w:tc>
        <w:tc>
          <w:tcPr>
            <w:tcW w:w="1134" w:type="dxa"/>
            <w:shd w:val="clear" w:color="auto" w:fill="auto"/>
          </w:tcPr>
          <w:p w:rsidR="006E70DA" w:rsidRPr="00BD7531" w:rsidRDefault="00E84C91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6E70DA" w:rsidRPr="00BD7531" w:rsidRDefault="00E84C91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1134" w:type="dxa"/>
            <w:shd w:val="clear" w:color="auto" w:fill="auto"/>
          </w:tcPr>
          <w:p w:rsidR="006E70DA" w:rsidRPr="00BD7531" w:rsidRDefault="00E84C91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</w:tr>
      <w:tr w:rsidR="006E70DA" w:rsidRPr="00BD7531" w:rsidTr="00523F5C">
        <w:tc>
          <w:tcPr>
            <w:tcW w:w="4536" w:type="dxa"/>
            <w:shd w:val="clear" w:color="auto" w:fill="auto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</w:pPr>
            <w:r w:rsidRPr="00BD7531">
              <w:t>Доля в общем объеме налоговых</w:t>
            </w:r>
            <w:r w:rsidRPr="00BD7531">
              <w:br/>
              <w:t>и неналоговых доходов бюджета, %</w:t>
            </w:r>
          </w:p>
        </w:tc>
        <w:tc>
          <w:tcPr>
            <w:tcW w:w="1701" w:type="dxa"/>
            <w:shd w:val="clear" w:color="auto" w:fill="auto"/>
          </w:tcPr>
          <w:p w:rsidR="006E70DA" w:rsidRPr="00BD7531" w:rsidRDefault="00E84C91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1134" w:type="dxa"/>
            <w:shd w:val="clear" w:color="auto" w:fill="auto"/>
          </w:tcPr>
          <w:p w:rsidR="006E70DA" w:rsidRPr="00BD7531" w:rsidRDefault="00E84C91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134" w:type="dxa"/>
            <w:shd w:val="clear" w:color="auto" w:fill="auto"/>
          </w:tcPr>
          <w:p w:rsidR="006E70DA" w:rsidRPr="00BD7531" w:rsidRDefault="00E84C91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1134" w:type="dxa"/>
            <w:shd w:val="clear" w:color="auto" w:fill="auto"/>
          </w:tcPr>
          <w:p w:rsidR="006E70DA" w:rsidRPr="00BD7531" w:rsidRDefault="00E84C91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</w:tr>
      <w:tr w:rsidR="006E70DA" w:rsidRPr="00BD7531" w:rsidTr="00523F5C">
        <w:tc>
          <w:tcPr>
            <w:tcW w:w="4536" w:type="dxa"/>
            <w:shd w:val="clear" w:color="auto" w:fill="auto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</w:pPr>
            <w:r w:rsidRPr="00BD7531">
              <w:t>Прирост (снижение)</w:t>
            </w:r>
          </w:p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</w:pPr>
            <w:r w:rsidRPr="00BD7531">
              <w:t>к предыдущему году, млн. рублей</w:t>
            </w:r>
          </w:p>
        </w:tc>
        <w:tc>
          <w:tcPr>
            <w:tcW w:w="1701" w:type="dxa"/>
            <w:shd w:val="clear" w:color="auto" w:fill="auto"/>
          </w:tcPr>
          <w:p w:rsidR="006E70DA" w:rsidRPr="00BD7531" w:rsidRDefault="006E70DA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х</w:t>
            </w:r>
          </w:p>
        </w:tc>
        <w:tc>
          <w:tcPr>
            <w:tcW w:w="1134" w:type="dxa"/>
            <w:shd w:val="clear" w:color="auto" w:fill="auto"/>
          </w:tcPr>
          <w:p w:rsidR="006E70DA" w:rsidRPr="00BD7531" w:rsidRDefault="00E84C91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BA25BB">
              <w:t>8,1</w:t>
            </w:r>
          </w:p>
        </w:tc>
        <w:tc>
          <w:tcPr>
            <w:tcW w:w="1134" w:type="dxa"/>
            <w:shd w:val="clear" w:color="auto" w:fill="auto"/>
          </w:tcPr>
          <w:p w:rsidR="006E70DA" w:rsidRPr="00BD7531" w:rsidRDefault="00BA25BB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E70DA" w:rsidRPr="00BD7531" w:rsidRDefault="00BA25BB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936B4C" w:rsidRDefault="00936B4C" w:rsidP="000607D0">
      <w:pPr>
        <w:shd w:val="clear" w:color="auto" w:fill="FFFFFF"/>
        <w:spacing w:line="312" w:lineRule="exact"/>
        <w:ind w:right="14" w:firstLine="709"/>
        <w:jc w:val="both"/>
        <w:rPr>
          <w:sz w:val="28"/>
          <w:szCs w:val="28"/>
        </w:rPr>
      </w:pPr>
      <w:r w:rsidRPr="006F00E2">
        <w:rPr>
          <w:sz w:val="28"/>
          <w:szCs w:val="28"/>
        </w:rPr>
        <w:lastRenderedPageBreak/>
        <w:t xml:space="preserve">Расчет налога произведен в соответствии с решением Совета городского округа город Нефтекамск от 16 ноября 2005 года №1-2/4 «О едином налоге на вмененный доход для отдельных видов деятельности» (с последующими изменениями). </w:t>
      </w:r>
    </w:p>
    <w:p w:rsidR="000607D0" w:rsidRDefault="000607D0" w:rsidP="000607D0">
      <w:pPr>
        <w:shd w:val="clear" w:color="auto" w:fill="FFFFFF"/>
        <w:spacing w:line="312" w:lineRule="exact"/>
        <w:ind w:right="14" w:firstLine="709"/>
        <w:jc w:val="both"/>
        <w:rPr>
          <w:sz w:val="28"/>
          <w:szCs w:val="28"/>
        </w:rPr>
      </w:pPr>
      <w:r w:rsidRPr="00BD7531">
        <w:rPr>
          <w:sz w:val="28"/>
          <w:szCs w:val="28"/>
        </w:rPr>
        <w:t xml:space="preserve">Поступления </w:t>
      </w:r>
      <w:r w:rsidRPr="006F00E2">
        <w:rPr>
          <w:sz w:val="28"/>
          <w:szCs w:val="28"/>
        </w:rPr>
        <w:t>едино</w:t>
      </w:r>
      <w:r>
        <w:rPr>
          <w:sz w:val="28"/>
          <w:szCs w:val="28"/>
        </w:rPr>
        <w:t>го</w:t>
      </w:r>
      <w:r w:rsidRPr="006F00E2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6F00E2">
        <w:rPr>
          <w:sz w:val="28"/>
          <w:szCs w:val="28"/>
        </w:rPr>
        <w:t xml:space="preserve"> на вмененный доход для отдельных видов деятельности</w:t>
      </w:r>
      <w:r w:rsidRPr="00BD7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2017 год прогнозируются на уровне ожидаемых поступлений в </w:t>
      </w:r>
      <w:r w:rsidRPr="00BD7531">
        <w:rPr>
          <w:sz w:val="28"/>
          <w:szCs w:val="28"/>
        </w:rPr>
        <w:t>2016 году</w:t>
      </w:r>
      <w:r>
        <w:rPr>
          <w:sz w:val="28"/>
          <w:szCs w:val="28"/>
        </w:rPr>
        <w:t xml:space="preserve">, со снижением </w:t>
      </w:r>
      <w:r w:rsidRPr="00BD7531">
        <w:rPr>
          <w:sz w:val="28"/>
          <w:szCs w:val="28"/>
        </w:rPr>
        <w:t>к утвержденному плану на 2016</w:t>
      </w:r>
      <w:r>
        <w:rPr>
          <w:sz w:val="28"/>
          <w:szCs w:val="28"/>
        </w:rPr>
        <w:t xml:space="preserve"> год </w:t>
      </w:r>
      <w:r w:rsidRPr="00BD7531">
        <w:rPr>
          <w:sz w:val="28"/>
          <w:szCs w:val="28"/>
        </w:rPr>
        <w:t xml:space="preserve">на </w:t>
      </w:r>
      <w:r>
        <w:rPr>
          <w:sz w:val="28"/>
          <w:szCs w:val="28"/>
        </w:rPr>
        <w:t>8,7</w:t>
      </w:r>
      <w:r w:rsidRPr="00BD753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BD7531">
        <w:rPr>
          <w:sz w:val="28"/>
          <w:szCs w:val="28"/>
        </w:rPr>
        <w:t xml:space="preserve">. В 2018–2019 годах прогнозируется </w:t>
      </w:r>
      <w:r>
        <w:rPr>
          <w:sz w:val="28"/>
          <w:szCs w:val="28"/>
        </w:rPr>
        <w:t>на уровне</w:t>
      </w:r>
      <w:r w:rsidRPr="00BD7531">
        <w:rPr>
          <w:sz w:val="28"/>
          <w:szCs w:val="28"/>
        </w:rPr>
        <w:t xml:space="preserve"> поступлений налога </w:t>
      </w:r>
      <w:r>
        <w:rPr>
          <w:sz w:val="28"/>
          <w:szCs w:val="28"/>
        </w:rPr>
        <w:t>в прогнозном 2017 году.</w:t>
      </w:r>
    </w:p>
    <w:p w:rsidR="000607D0" w:rsidRPr="00A7493C" w:rsidRDefault="000607D0" w:rsidP="00A7493C">
      <w:pPr>
        <w:ind w:firstLine="7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2732F8">
        <w:rPr>
          <w:sz w:val="28"/>
          <w:szCs w:val="28"/>
        </w:rPr>
        <w:t>на 201</w:t>
      </w:r>
      <w:r w:rsidR="00936B4C">
        <w:rPr>
          <w:sz w:val="28"/>
          <w:szCs w:val="28"/>
        </w:rPr>
        <w:t>7</w:t>
      </w:r>
      <w:r w:rsidRPr="002732F8">
        <w:rPr>
          <w:sz w:val="28"/>
          <w:szCs w:val="28"/>
        </w:rPr>
        <w:t>-201</w:t>
      </w:r>
      <w:r w:rsidR="00936B4C">
        <w:rPr>
          <w:sz w:val="28"/>
          <w:szCs w:val="28"/>
        </w:rPr>
        <w:t>9</w:t>
      </w:r>
      <w:r w:rsidRPr="002732F8">
        <w:rPr>
          <w:sz w:val="28"/>
          <w:szCs w:val="28"/>
        </w:rPr>
        <w:t xml:space="preserve"> годы рассчитаны на основании данных о налоговой базе за 201</w:t>
      </w:r>
      <w:r w:rsidR="00936B4C">
        <w:rPr>
          <w:sz w:val="28"/>
          <w:szCs w:val="28"/>
        </w:rPr>
        <w:t>6</w:t>
      </w:r>
      <w:r w:rsidRPr="002732F8">
        <w:rPr>
          <w:sz w:val="28"/>
          <w:szCs w:val="28"/>
        </w:rPr>
        <w:t xml:space="preserve"> год, динамики поступлений в теку</w:t>
      </w:r>
      <w:r w:rsidR="00936B4C">
        <w:rPr>
          <w:sz w:val="28"/>
          <w:szCs w:val="28"/>
        </w:rPr>
        <w:t>щем</w:t>
      </w:r>
      <w:r>
        <w:rPr>
          <w:sz w:val="28"/>
          <w:szCs w:val="28"/>
        </w:rPr>
        <w:t xml:space="preserve"> </w:t>
      </w:r>
      <w:r w:rsidR="00E84C91">
        <w:rPr>
          <w:sz w:val="28"/>
          <w:szCs w:val="28"/>
        </w:rPr>
        <w:t xml:space="preserve">году. </w:t>
      </w:r>
      <w:r w:rsidR="00936B4C" w:rsidRPr="001C7B7E">
        <w:rPr>
          <w:sz w:val="28"/>
          <w:szCs w:val="28"/>
        </w:rPr>
        <w:t>Кроме того, при прогнозировании учтены объемы выпадающих доходов бюджета в связи с изменениями налогового законодательства, в частности</w:t>
      </w:r>
      <w:r w:rsidR="00936B4C">
        <w:rPr>
          <w:sz w:val="28"/>
          <w:szCs w:val="28"/>
        </w:rPr>
        <w:t>,</w:t>
      </w:r>
      <w:r w:rsidR="00E84C91">
        <w:rPr>
          <w:sz w:val="28"/>
          <w:szCs w:val="28"/>
        </w:rPr>
        <w:t xml:space="preserve"> введение</w:t>
      </w:r>
      <w:r w:rsidR="00BA25BB">
        <w:rPr>
          <w:sz w:val="28"/>
          <w:szCs w:val="28"/>
        </w:rPr>
        <w:t xml:space="preserve"> </w:t>
      </w:r>
      <w:r w:rsidR="00E84C91" w:rsidRPr="00E84C91">
        <w:rPr>
          <w:sz w:val="28"/>
          <w:szCs w:val="28"/>
        </w:rPr>
        <w:t>добровольн</w:t>
      </w:r>
      <w:r w:rsidR="00E84C91">
        <w:rPr>
          <w:sz w:val="28"/>
          <w:szCs w:val="28"/>
        </w:rPr>
        <w:t>ого</w:t>
      </w:r>
      <w:r w:rsidR="00E84C91" w:rsidRPr="00E84C91">
        <w:rPr>
          <w:sz w:val="28"/>
          <w:szCs w:val="28"/>
        </w:rPr>
        <w:t xml:space="preserve"> поряд</w:t>
      </w:r>
      <w:r w:rsidR="00E84C91">
        <w:rPr>
          <w:sz w:val="28"/>
          <w:szCs w:val="28"/>
        </w:rPr>
        <w:t>ка</w:t>
      </w:r>
      <w:r w:rsidR="00E84C91" w:rsidRPr="00E84C91">
        <w:rPr>
          <w:sz w:val="28"/>
          <w:szCs w:val="28"/>
        </w:rPr>
        <w:t xml:space="preserve"> перехода на уплату </w:t>
      </w:r>
      <w:r w:rsidR="00E84C91">
        <w:rPr>
          <w:sz w:val="28"/>
          <w:szCs w:val="28"/>
        </w:rPr>
        <w:t xml:space="preserve">налога </w:t>
      </w:r>
      <w:r w:rsidR="00BA25BB">
        <w:rPr>
          <w:sz w:val="28"/>
          <w:szCs w:val="28"/>
        </w:rPr>
        <w:t>(</w:t>
      </w:r>
      <w:r w:rsidR="00E84C91" w:rsidRPr="00E84C91">
        <w:rPr>
          <w:sz w:val="28"/>
          <w:szCs w:val="28"/>
        </w:rPr>
        <w:t xml:space="preserve">переход </w:t>
      </w:r>
      <w:r w:rsidR="00E84C91">
        <w:rPr>
          <w:sz w:val="28"/>
          <w:szCs w:val="28"/>
        </w:rPr>
        <w:t xml:space="preserve">плательщиков </w:t>
      </w:r>
      <w:r w:rsidR="00E84C91" w:rsidRPr="00E84C91">
        <w:rPr>
          <w:sz w:val="28"/>
          <w:szCs w:val="28"/>
        </w:rPr>
        <w:t>на другие виды налогообложения</w:t>
      </w:r>
      <w:r w:rsidR="00C41AB4">
        <w:rPr>
          <w:sz w:val="28"/>
          <w:szCs w:val="28"/>
        </w:rPr>
        <w:t>, на 01.01.2015 – 1790 налогоплательщиков, на 01.01.2016 - 1461</w:t>
      </w:r>
      <w:r w:rsidR="00BA25BB">
        <w:rPr>
          <w:sz w:val="28"/>
          <w:szCs w:val="28"/>
        </w:rPr>
        <w:t>)</w:t>
      </w:r>
      <w:r w:rsidR="00E84C91">
        <w:rPr>
          <w:sz w:val="28"/>
          <w:szCs w:val="28"/>
        </w:rPr>
        <w:t>.</w:t>
      </w:r>
    </w:p>
    <w:p w:rsidR="006E70DA" w:rsidRDefault="006E70DA" w:rsidP="006E70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3C17" w:rsidRPr="00523F5C" w:rsidRDefault="00C93C17" w:rsidP="00C93C17">
      <w:pPr>
        <w:shd w:val="clear" w:color="auto" w:fill="FFFFFF"/>
        <w:spacing w:line="252" w:lineRule="auto"/>
        <w:contextualSpacing/>
        <w:jc w:val="center"/>
        <w:rPr>
          <w:bCs/>
          <w:sz w:val="28"/>
          <w:szCs w:val="28"/>
        </w:rPr>
      </w:pPr>
      <w:r w:rsidRPr="00523F5C">
        <w:rPr>
          <w:bCs/>
          <w:sz w:val="28"/>
          <w:szCs w:val="28"/>
        </w:rPr>
        <w:t xml:space="preserve">Налог, взимаемый в связи с применением </w:t>
      </w:r>
    </w:p>
    <w:p w:rsidR="00C93C17" w:rsidRPr="00523F5C" w:rsidRDefault="00C93C17" w:rsidP="00C93C17">
      <w:pPr>
        <w:shd w:val="clear" w:color="auto" w:fill="FFFFFF"/>
        <w:spacing w:line="252" w:lineRule="auto"/>
        <w:contextualSpacing/>
        <w:jc w:val="center"/>
        <w:rPr>
          <w:bCs/>
          <w:sz w:val="28"/>
          <w:szCs w:val="28"/>
        </w:rPr>
      </w:pPr>
      <w:r w:rsidRPr="00523F5C">
        <w:rPr>
          <w:bCs/>
          <w:sz w:val="28"/>
          <w:szCs w:val="28"/>
        </w:rPr>
        <w:t>упрощенной системы налогообложения</w:t>
      </w:r>
    </w:p>
    <w:p w:rsidR="00C93C17" w:rsidRPr="001C7B7E" w:rsidRDefault="00C93C17" w:rsidP="00C93C17">
      <w:pPr>
        <w:shd w:val="clear" w:color="auto" w:fill="FFFFFF"/>
        <w:spacing w:line="252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C93C17" w:rsidRPr="005E683D" w:rsidRDefault="00C93C17" w:rsidP="00C93C17">
      <w:pPr>
        <w:shd w:val="clear" w:color="auto" w:fill="FFFFFF"/>
        <w:spacing w:line="252" w:lineRule="auto"/>
        <w:ind w:firstLine="709"/>
        <w:contextualSpacing/>
        <w:jc w:val="both"/>
        <w:rPr>
          <w:bCs/>
          <w:sz w:val="28"/>
          <w:szCs w:val="28"/>
        </w:rPr>
      </w:pPr>
      <w:r w:rsidRPr="001C7B7E">
        <w:rPr>
          <w:bCs/>
          <w:sz w:val="28"/>
          <w:szCs w:val="28"/>
        </w:rPr>
        <w:t xml:space="preserve">Прогнозируемые объемы поступлений </w:t>
      </w:r>
      <w:r w:rsidRPr="001C7B7E">
        <w:rPr>
          <w:sz w:val="28"/>
          <w:szCs w:val="28"/>
        </w:rPr>
        <w:t>налога, взимаемого в связи</w:t>
      </w:r>
      <w:r>
        <w:rPr>
          <w:sz w:val="28"/>
          <w:szCs w:val="28"/>
        </w:rPr>
        <w:br/>
      </w:r>
      <w:r w:rsidRPr="001C7B7E">
        <w:rPr>
          <w:sz w:val="28"/>
          <w:szCs w:val="28"/>
        </w:rPr>
        <w:t>с применением упрощенной системы налогообложения,</w:t>
      </w:r>
      <w:r w:rsidRPr="001C7B7E">
        <w:rPr>
          <w:bCs/>
          <w:sz w:val="28"/>
          <w:szCs w:val="28"/>
        </w:rPr>
        <w:t xml:space="preserve"> приведены</w:t>
      </w:r>
      <w:r>
        <w:rPr>
          <w:bCs/>
          <w:sz w:val="28"/>
          <w:szCs w:val="28"/>
        </w:rPr>
        <w:br/>
      </w:r>
      <w:r w:rsidRPr="001C7B7E">
        <w:rPr>
          <w:bCs/>
          <w:sz w:val="28"/>
          <w:szCs w:val="28"/>
        </w:rPr>
        <w:t>в следующей таблице.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6"/>
        <w:gridCol w:w="1655"/>
        <w:gridCol w:w="1101"/>
        <w:gridCol w:w="1101"/>
        <w:gridCol w:w="1099"/>
      </w:tblGrid>
      <w:tr w:rsidR="00C93C17" w:rsidRPr="001C7B7E" w:rsidTr="00A904AC">
        <w:trPr>
          <w:tblHeader/>
        </w:trPr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B7E">
              <w:t>Наименование показателя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1C7B7E">
              <w:t>2016</w:t>
            </w:r>
            <w:r>
              <w:t xml:space="preserve"> </w:t>
            </w:r>
            <w:r w:rsidRPr="001C7B7E">
              <w:t>год</w:t>
            </w:r>
          </w:p>
          <w:p w:rsidR="00D4506F" w:rsidRPr="00F920E1" w:rsidRDefault="00D4506F" w:rsidP="00D4506F">
            <w:pPr>
              <w:jc w:val="center"/>
            </w:pPr>
            <w:r w:rsidRPr="00F920E1">
              <w:t xml:space="preserve">Решение </w:t>
            </w:r>
          </w:p>
          <w:p w:rsidR="00C93C17" w:rsidRPr="001C7B7E" w:rsidRDefault="00D4506F" w:rsidP="00D450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F920E1">
              <w:t>№ 3-42/01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B7E">
              <w:t>Проект</w:t>
            </w:r>
          </w:p>
        </w:tc>
      </w:tr>
      <w:tr w:rsidR="00C93C17" w:rsidRPr="001C7B7E" w:rsidTr="00A904AC">
        <w:trPr>
          <w:trHeight w:val="274"/>
          <w:tblHeader/>
        </w:trPr>
        <w:tc>
          <w:tcPr>
            <w:tcW w:w="2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1C7B7E" w:rsidRDefault="00C93C17" w:rsidP="00A904AC"/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1C7B7E" w:rsidRDefault="00C93C17" w:rsidP="00A904AC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B7E">
              <w:t>2017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B7E">
              <w:t>2018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B7E">
              <w:t>2019 год</w:t>
            </w:r>
          </w:p>
        </w:tc>
      </w:tr>
      <w:tr w:rsidR="00C93C17" w:rsidRPr="00AC0249" w:rsidTr="00A904A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AC0249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249">
              <w:t>Налог, взимаемый в связи с применением упрощенной системы налогообложения</w:t>
            </w:r>
          </w:p>
        </w:tc>
      </w:tr>
      <w:tr w:rsidR="00C93C17" w:rsidRPr="001C7B7E" w:rsidTr="00A904AC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1C7B7E">
              <w:t>Объем доходов, млн. рублей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</w:tr>
      <w:tr w:rsidR="00C93C17" w:rsidRPr="001C7B7E" w:rsidTr="00A904AC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1C7B7E">
              <w:t xml:space="preserve">Доля в общем объеме налоговых </w:t>
            </w:r>
          </w:p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1C7B7E">
              <w:t>и неналоговых доходов бюджета, 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93C17" w:rsidRPr="001C7B7E">
              <w:t>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93C17" w:rsidRPr="001C7B7E">
              <w:t>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C93C17" w:rsidRPr="001C7B7E" w:rsidTr="00A904AC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1C7B7E">
              <w:t>Прирост (снижение)</w:t>
            </w:r>
          </w:p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1C7B7E">
              <w:t>к предыдущему году, млн. рублей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B7E"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1C7B7E" w:rsidRDefault="00D4506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</w:tbl>
    <w:p w:rsidR="00C93C17" w:rsidRPr="001C7B7E" w:rsidRDefault="00C93C17" w:rsidP="00C93C17">
      <w:pPr>
        <w:shd w:val="clear" w:color="auto" w:fill="FFFFFF"/>
        <w:ind w:firstLine="709"/>
        <w:jc w:val="both"/>
        <w:rPr>
          <w:sz w:val="28"/>
          <w:szCs w:val="28"/>
        </w:rPr>
      </w:pPr>
      <w:r w:rsidRPr="001C7B7E">
        <w:rPr>
          <w:sz w:val="28"/>
          <w:szCs w:val="28"/>
        </w:rPr>
        <w:t xml:space="preserve">Прогноз налога на 2017 год составляет </w:t>
      </w:r>
      <w:r w:rsidR="00D4506F">
        <w:rPr>
          <w:sz w:val="28"/>
          <w:szCs w:val="28"/>
        </w:rPr>
        <w:t>100,1 процент</w:t>
      </w:r>
      <w:r w:rsidRPr="001C7B7E">
        <w:rPr>
          <w:sz w:val="28"/>
          <w:szCs w:val="28"/>
        </w:rPr>
        <w:t xml:space="preserve"> к утвержденному плану на 2016 год и </w:t>
      </w:r>
      <w:r w:rsidR="00D4506F">
        <w:rPr>
          <w:sz w:val="28"/>
          <w:szCs w:val="28"/>
        </w:rPr>
        <w:t>100</w:t>
      </w:r>
      <w:r w:rsidRPr="001C7B7E">
        <w:rPr>
          <w:sz w:val="28"/>
          <w:szCs w:val="28"/>
        </w:rPr>
        <w:t xml:space="preserve"> процент</w:t>
      </w:r>
      <w:r w:rsidR="00D4506F">
        <w:rPr>
          <w:sz w:val="28"/>
          <w:szCs w:val="28"/>
        </w:rPr>
        <w:t>ов</w:t>
      </w:r>
      <w:r w:rsidRPr="001C7B7E">
        <w:rPr>
          <w:sz w:val="28"/>
          <w:szCs w:val="28"/>
        </w:rPr>
        <w:t xml:space="preserve"> к ожидаемой оценке. На 2018</w:t>
      </w:r>
      <w:r w:rsidR="00D4506F">
        <w:rPr>
          <w:sz w:val="28"/>
          <w:szCs w:val="28"/>
        </w:rPr>
        <w:t>-2019</w:t>
      </w:r>
      <w:r w:rsidRPr="001C7B7E">
        <w:rPr>
          <w:sz w:val="28"/>
          <w:szCs w:val="28"/>
        </w:rPr>
        <w:t xml:space="preserve"> год</w:t>
      </w:r>
      <w:r w:rsidR="00D4506F">
        <w:rPr>
          <w:sz w:val="28"/>
          <w:szCs w:val="28"/>
        </w:rPr>
        <w:t>ы</w:t>
      </w:r>
      <w:r w:rsidRPr="001C7B7E">
        <w:rPr>
          <w:sz w:val="28"/>
          <w:szCs w:val="28"/>
        </w:rPr>
        <w:t xml:space="preserve"> налог прогнозируется с ростом на </w:t>
      </w:r>
      <w:r w:rsidR="00D4506F">
        <w:rPr>
          <w:sz w:val="28"/>
          <w:szCs w:val="28"/>
        </w:rPr>
        <w:t>1,6</w:t>
      </w:r>
      <w:r w:rsidRPr="001C7B7E">
        <w:rPr>
          <w:sz w:val="28"/>
          <w:szCs w:val="28"/>
        </w:rPr>
        <w:t xml:space="preserve"> проц</w:t>
      </w:r>
      <w:r w:rsidR="0008480F">
        <w:rPr>
          <w:sz w:val="28"/>
          <w:szCs w:val="28"/>
        </w:rPr>
        <w:t>ент</w:t>
      </w:r>
      <w:r w:rsidR="00D4506F">
        <w:rPr>
          <w:sz w:val="28"/>
          <w:szCs w:val="28"/>
        </w:rPr>
        <w:t>ов.</w:t>
      </w:r>
    </w:p>
    <w:p w:rsidR="00C93C17" w:rsidRDefault="00C93C17" w:rsidP="00C93C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7E">
        <w:rPr>
          <w:sz w:val="28"/>
          <w:szCs w:val="28"/>
        </w:rPr>
        <w:t>Поступления по налогу, взимаемому в связи с применением упрощенной системы налогообложения, на 2017–2019 годы рассчитаны на основании данных о налоговой базе за 2015 год, динам</w:t>
      </w:r>
      <w:r w:rsidR="0008480F">
        <w:rPr>
          <w:sz w:val="28"/>
          <w:szCs w:val="28"/>
        </w:rPr>
        <w:t xml:space="preserve">ики поступлений в текущем году, </w:t>
      </w:r>
      <w:r w:rsidRPr="001C7B7E">
        <w:rPr>
          <w:sz w:val="28"/>
          <w:szCs w:val="28"/>
        </w:rPr>
        <w:t>а также на основе прогнозируемых темпов роста и индексов-дефляторов оборота розничной торговли. Кроме того, при прогнозировании учтены объемы выпадающих доходов бюджета в связи с изменениями налогового законодательства, в частности</w:t>
      </w:r>
      <w:r>
        <w:rPr>
          <w:sz w:val="28"/>
          <w:szCs w:val="28"/>
        </w:rPr>
        <w:t>,</w:t>
      </w:r>
      <w:r w:rsidRPr="001C7B7E">
        <w:rPr>
          <w:sz w:val="28"/>
          <w:szCs w:val="28"/>
        </w:rPr>
        <w:t xml:space="preserve"> предус</w:t>
      </w:r>
      <w:r w:rsidR="00D4506F">
        <w:rPr>
          <w:sz w:val="28"/>
          <w:szCs w:val="28"/>
        </w:rPr>
        <w:t xml:space="preserve">матривающими сохранение системы </w:t>
      </w:r>
      <w:r>
        <w:rPr>
          <w:sz w:val="28"/>
          <w:szCs w:val="28"/>
        </w:rPr>
        <w:t xml:space="preserve">налогообложения </w:t>
      </w:r>
      <w:r w:rsidRPr="001C7B7E">
        <w:rPr>
          <w:sz w:val="28"/>
          <w:szCs w:val="28"/>
        </w:rPr>
        <w:t>в виде единого налога на вме</w:t>
      </w:r>
      <w:r>
        <w:rPr>
          <w:sz w:val="28"/>
          <w:szCs w:val="28"/>
        </w:rPr>
        <w:t>не</w:t>
      </w:r>
      <w:r w:rsidRPr="001C7B7E">
        <w:rPr>
          <w:sz w:val="28"/>
          <w:szCs w:val="28"/>
        </w:rPr>
        <w:t xml:space="preserve">нный доход и увеличение </w:t>
      </w:r>
      <w:r>
        <w:rPr>
          <w:sz w:val="28"/>
          <w:szCs w:val="28"/>
        </w:rPr>
        <w:t xml:space="preserve">предельного </w:t>
      </w:r>
      <w:r w:rsidRPr="001C7B7E">
        <w:rPr>
          <w:sz w:val="28"/>
          <w:szCs w:val="28"/>
        </w:rPr>
        <w:t>размера выручки</w:t>
      </w:r>
      <w:r>
        <w:rPr>
          <w:sz w:val="28"/>
          <w:szCs w:val="28"/>
        </w:rPr>
        <w:t xml:space="preserve"> </w:t>
      </w:r>
      <w:r w:rsidRPr="001C7B7E">
        <w:rPr>
          <w:sz w:val="28"/>
          <w:szCs w:val="28"/>
        </w:rPr>
        <w:t>от реализации, позволяющего применять упрощенную систему налогообложения.</w:t>
      </w:r>
    </w:p>
    <w:p w:rsidR="005340C6" w:rsidRPr="005340C6" w:rsidRDefault="005340C6" w:rsidP="00534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0C6">
        <w:rPr>
          <w:rFonts w:ascii="Times New Roman" w:hAnsi="Times New Roman" w:cs="Times New Roman"/>
          <w:sz w:val="28"/>
          <w:szCs w:val="28"/>
        </w:rPr>
        <w:lastRenderedPageBreak/>
        <w:t xml:space="preserve">Законом Республики Башкортостан № 574-з от 17.07.2012 «Об установлении единых нормативов отчислений от отдельных налогов в бюджеты муниципальных районов, городских округов Республики Башкортостан» установлен норматив отчислений в бюджет городского округа в размере 10%. </w:t>
      </w:r>
    </w:p>
    <w:p w:rsidR="005340C6" w:rsidRPr="00523F5C" w:rsidRDefault="005340C6" w:rsidP="00C93C17">
      <w:pPr>
        <w:jc w:val="center"/>
        <w:rPr>
          <w:sz w:val="28"/>
          <w:szCs w:val="28"/>
        </w:rPr>
      </w:pPr>
    </w:p>
    <w:p w:rsidR="00AD6674" w:rsidRPr="00523F5C" w:rsidRDefault="00AD6674" w:rsidP="00AD6674">
      <w:pPr>
        <w:jc w:val="center"/>
        <w:rPr>
          <w:sz w:val="28"/>
          <w:szCs w:val="28"/>
        </w:rPr>
      </w:pPr>
      <w:r w:rsidRPr="00523F5C">
        <w:rPr>
          <w:sz w:val="28"/>
          <w:szCs w:val="28"/>
        </w:rPr>
        <w:t xml:space="preserve">Налог, взимаемый </w:t>
      </w:r>
    </w:p>
    <w:p w:rsidR="00AD6674" w:rsidRPr="00523F5C" w:rsidRDefault="00AD6674" w:rsidP="00AD6674">
      <w:pPr>
        <w:jc w:val="center"/>
        <w:rPr>
          <w:sz w:val="28"/>
          <w:szCs w:val="28"/>
        </w:rPr>
      </w:pPr>
      <w:r w:rsidRPr="00523F5C">
        <w:rPr>
          <w:sz w:val="28"/>
          <w:szCs w:val="28"/>
        </w:rPr>
        <w:t>в связи с применением патентной системы налогообложения</w:t>
      </w:r>
    </w:p>
    <w:p w:rsidR="00AD6674" w:rsidRPr="00962643" w:rsidRDefault="00AD6674" w:rsidP="00AD6674">
      <w:pPr>
        <w:ind w:firstLine="744"/>
        <w:jc w:val="center"/>
        <w:rPr>
          <w:color w:val="FF0000"/>
          <w:sz w:val="28"/>
          <w:szCs w:val="28"/>
        </w:rPr>
      </w:pPr>
    </w:p>
    <w:p w:rsidR="00962674" w:rsidRPr="00BD7531" w:rsidRDefault="00962674" w:rsidP="00AD6674">
      <w:pPr>
        <w:shd w:val="clear" w:color="auto" w:fill="FFFFFF"/>
        <w:spacing w:line="307" w:lineRule="exact"/>
        <w:ind w:firstLine="710"/>
        <w:jc w:val="both"/>
        <w:outlineLvl w:val="0"/>
        <w:rPr>
          <w:sz w:val="28"/>
          <w:szCs w:val="28"/>
        </w:rPr>
      </w:pPr>
      <w:r w:rsidRPr="00AD6674">
        <w:rPr>
          <w:sz w:val="28"/>
          <w:szCs w:val="28"/>
        </w:rPr>
        <w:t>Прогноз поступлений налога</w:t>
      </w:r>
      <w:r w:rsidR="00AD6674">
        <w:rPr>
          <w:sz w:val="28"/>
          <w:szCs w:val="28"/>
        </w:rPr>
        <w:t>,</w:t>
      </w:r>
      <w:r w:rsidR="00AD6674" w:rsidRPr="00AD6674">
        <w:rPr>
          <w:sz w:val="28"/>
          <w:szCs w:val="28"/>
        </w:rPr>
        <w:t xml:space="preserve"> взимаем</w:t>
      </w:r>
      <w:r w:rsidR="00AD6674">
        <w:rPr>
          <w:sz w:val="28"/>
          <w:szCs w:val="28"/>
        </w:rPr>
        <w:t>аемого</w:t>
      </w:r>
      <w:r w:rsidR="00AD6674" w:rsidRPr="00AD6674">
        <w:rPr>
          <w:sz w:val="28"/>
          <w:szCs w:val="28"/>
        </w:rPr>
        <w:t xml:space="preserve"> в связи с применением патентной системы налогообложения</w:t>
      </w:r>
      <w:r w:rsidR="00AD6674">
        <w:rPr>
          <w:sz w:val="28"/>
          <w:szCs w:val="28"/>
        </w:rPr>
        <w:t xml:space="preserve"> </w:t>
      </w:r>
      <w:r w:rsidRPr="00AD6674">
        <w:rPr>
          <w:sz w:val="28"/>
          <w:szCs w:val="28"/>
        </w:rPr>
        <w:t>характеризуется следующими показателями: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701"/>
        <w:gridCol w:w="1134"/>
        <w:gridCol w:w="1134"/>
        <w:gridCol w:w="1134"/>
      </w:tblGrid>
      <w:tr w:rsidR="00962674" w:rsidRPr="00BD7531" w:rsidTr="00523F5C">
        <w:tc>
          <w:tcPr>
            <w:tcW w:w="4536" w:type="dxa"/>
            <w:vMerge w:val="restart"/>
            <w:shd w:val="clear" w:color="auto" w:fill="auto"/>
            <w:vAlign w:val="center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62674" w:rsidRPr="00F920E1" w:rsidRDefault="00962674" w:rsidP="00523F5C">
            <w:pPr>
              <w:jc w:val="center"/>
            </w:pPr>
            <w:r w:rsidRPr="00BD7531">
              <w:t xml:space="preserve">2016 год </w:t>
            </w:r>
            <w:r w:rsidRPr="00BD7531">
              <w:br/>
            </w:r>
            <w:r w:rsidRPr="00F920E1">
              <w:t xml:space="preserve">Решение </w:t>
            </w:r>
          </w:p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F920E1">
              <w:t>№ 3-42/01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Проект</w:t>
            </w:r>
          </w:p>
        </w:tc>
      </w:tr>
      <w:tr w:rsidR="00962674" w:rsidRPr="00BD7531" w:rsidTr="00523F5C">
        <w:trPr>
          <w:trHeight w:val="462"/>
        </w:trPr>
        <w:tc>
          <w:tcPr>
            <w:tcW w:w="4536" w:type="dxa"/>
            <w:vMerge/>
            <w:shd w:val="clear" w:color="auto" w:fill="auto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2019 год</w:t>
            </w:r>
          </w:p>
        </w:tc>
      </w:tr>
      <w:tr w:rsidR="00962674" w:rsidRPr="00BD7531" w:rsidTr="00523F5C">
        <w:tc>
          <w:tcPr>
            <w:tcW w:w="9639" w:type="dxa"/>
            <w:gridSpan w:val="5"/>
            <w:shd w:val="clear" w:color="auto" w:fill="auto"/>
          </w:tcPr>
          <w:p w:rsidR="00962674" w:rsidRPr="009C669C" w:rsidRDefault="00962674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Единый налог на вмененный доход</w:t>
            </w:r>
          </w:p>
        </w:tc>
      </w:tr>
      <w:tr w:rsidR="00962674" w:rsidRPr="00BD7531" w:rsidTr="00523F5C">
        <w:tc>
          <w:tcPr>
            <w:tcW w:w="4536" w:type="dxa"/>
            <w:shd w:val="clear" w:color="auto" w:fill="auto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</w:pPr>
            <w:r w:rsidRPr="00BD7531">
              <w:t>Объем доходов, млн. рублей</w:t>
            </w:r>
          </w:p>
        </w:tc>
        <w:tc>
          <w:tcPr>
            <w:tcW w:w="1701" w:type="dxa"/>
            <w:shd w:val="clear" w:color="auto" w:fill="auto"/>
          </w:tcPr>
          <w:p w:rsidR="00962674" w:rsidRPr="00BD7531" w:rsidRDefault="00973FC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6,3</w:t>
            </w:r>
          </w:p>
        </w:tc>
        <w:tc>
          <w:tcPr>
            <w:tcW w:w="1134" w:type="dxa"/>
            <w:shd w:val="clear" w:color="auto" w:fill="auto"/>
          </w:tcPr>
          <w:p w:rsidR="00962674" w:rsidRPr="00BD7531" w:rsidRDefault="00973FC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7,3</w:t>
            </w:r>
          </w:p>
        </w:tc>
        <w:tc>
          <w:tcPr>
            <w:tcW w:w="1134" w:type="dxa"/>
            <w:shd w:val="clear" w:color="auto" w:fill="auto"/>
          </w:tcPr>
          <w:p w:rsidR="00962674" w:rsidRPr="00BD7531" w:rsidRDefault="00973FC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962674" w:rsidRPr="00BD7531" w:rsidRDefault="00973FC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</w:tr>
      <w:tr w:rsidR="00962674" w:rsidRPr="00BD7531" w:rsidTr="00523F5C">
        <w:tc>
          <w:tcPr>
            <w:tcW w:w="4536" w:type="dxa"/>
            <w:shd w:val="clear" w:color="auto" w:fill="auto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</w:pPr>
            <w:r w:rsidRPr="00BD7531">
              <w:t>Доля в общем объеме налоговых</w:t>
            </w:r>
            <w:r w:rsidRPr="00BD7531">
              <w:br/>
              <w:t>и неналоговых доходов бюджета, %</w:t>
            </w:r>
          </w:p>
        </w:tc>
        <w:tc>
          <w:tcPr>
            <w:tcW w:w="1701" w:type="dxa"/>
            <w:shd w:val="clear" w:color="auto" w:fill="auto"/>
          </w:tcPr>
          <w:p w:rsidR="00962674" w:rsidRPr="00BD7531" w:rsidRDefault="00973FC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134" w:type="dxa"/>
            <w:shd w:val="clear" w:color="auto" w:fill="auto"/>
          </w:tcPr>
          <w:p w:rsidR="00973FCC" w:rsidRPr="00BD7531" w:rsidRDefault="00973FC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134" w:type="dxa"/>
            <w:shd w:val="clear" w:color="auto" w:fill="auto"/>
          </w:tcPr>
          <w:p w:rsidR="00962674" w:rsidRPr="00BD7531" w:rsidRDefault="00973FC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134" w:type="dxa"/>
            <w:shd w:val="clear" w:color="auto" w:fill="auto"/>
          </w:tcPr>
          <w:p w:rsidR="00962674" w:rsidRPr="00BD7531" w:rsidRDefault="00973FC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</w:tr>
      <w:tr w:rsidR="00962674" w:rsidRPr="00BD7531" w:rsidTr="00523F5C">
        <w:tc>
          <w:tcPr>
            <w:tcW w:w="4536" w:type="dxa"/>
            <w:shd w:val="clear" w:color="auto" w:fill="auto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</w:pPr>
            <w:r w:rsidRPr="00BD7531">
              <w:t>Прирост (снижение)</w:t>
            </w:r>
          </w:p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</w:pPr>
            <w:r w:rsidRPr="00BD7531">
              <w:t>к предыдущему году, млн. рублей</w:t>
            </w:r>
          </w:p>
        </w:tc>
        <w:tc>
          <w:tcPr>
            <w:tcW w:w="1701" w:type="dxa"/>
            <w:shd w:val="clear" w:color="auto" w:fill="auto"/>
          </w:tcPr>
          <w:p w:rsidR="00962674" w:rsidRPr="00BD7531" w:rsidRDefault="00962674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531">
              <w:t>х</w:t>
            </w:r>
          </w:p>
        </w:tc>
        <w:tc>
          <w:tcPr>
            <w:tcW w:w="1134" w:type="dxa"/>
            <w:shd w:val="clear" w:color="auto" w:fill="auto"/>
          </w:tcPr>
          <w:p w:rsidR="00962674" w:rsidRPr="00BD7531" w:rsidRDefault="00F60932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134" w:type="dxa"/>
            <w:shd w:val="clear" w:color="auto" w:fill="auto"/>
          </w:tcPr>
          <w:p w:rsidR="00962674" w:rsidRPr="00BD7531" w:rsidRDefault="00F60932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134" w:type="dxa"/>
            <w:shd w:val="clear" w:color="auto" w:fill="auto"/>
          </w:tcPr>
          <w:p w:rsidR="00962674" w:rsidRPr="00BD7531" w:rsidRDefault="00F60932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</w:tbl>
    <w:p w:rsidR="00962674" w:rsidRPr="00172497" w:rsidRDefault="00172497" w:rsidP="00172497">
      <w:pPr>
        <w:shd w:val="clear" w:color="auto" w:fill="FFFFFF"/>
        <w:spacing w:line="307" w:lineRule="exact"/>
        <w:ind w:firstLine="710"/>
        <w:jc w:val="both"/>
        <w:outlineLvl w:val="0"/>
        <w:rPr>
          <w:b/>
          <w:sz w:val="28"/>
          <w:szCs w:val="28"/>
        </w:rPr>
      </w:pPr>
      <w:r w:rsidRPr="006F00E2">
        <w:rPr>
          <w:sz w:val="28"/>
          <w:szCs w:val="28"/>
        </w:rPr>
        <w:t xml:space="preserve">Расчет налога произведен в соответствии с </w:t>
      </w:r>
      <w:r>
        <w:rPr>
          <w:sz w:val="28"/>
          <w:szCs w:val="28"/>
        </w:rPr>
        <w:t xml:space="preserve">Законом Республики Башкортостан </w:t>
      </w:r>
      <w:r w:rsidRPr="006F00E2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6F00E2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Pr="006F00E2">
        <w:rPr>
          <w:sz w:val="28"/>
          <w:szCs w:val="28"/>
        </w:rPr>
        <w:t>бря 20</w:t>
      </w:r>
      <w:r>
        <w:rPr>
          <w:sz w:val="28"/>
          <w:szCs w:val="28"/>
        </w:rPr>
        <w:t>12</w:t>
      </w:r>
      <w:r w:rsidRPr="006F00E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592-з </w:t>
      </w:r>
      <w:r w:rsidRPr="006F00E2">
        <w:rPr>
          <w:sz w:val="28"/>
          <w:szCs w:val="28"/>
        </w:rPr>
        <w:t xml:space="preserve">«О </w:t>
      </w:r>
      <w:r>
        <w:rPr>
          <w:sz w:val="28"/>
          <w:szCs w:val="28"/>
        </w:rPr>
        <w:t>патентной системе налогообложения в Республики Башкортостан</w:t>
      </w:r>
      <w:r w:rsidRPr="006F00E2">
        <w:rPr>
          <w:sz w:val="28"/>
          <w:szCs w:val="28"/>
        </w:rPr>
        <w:t>» (</w:t>
      </w:r>
      <w:r>
        <w:rPr>
          <w:sz w:val="28"/>
          <w:szCs w:val="28"/>
        </w:rPr>
        <w:t>ред. от 02.11.2015</w:t>
      </w:r>
      <w:r w:rsidRPr="006F00E2">
        <w:rPr>
          <w:sz w:val="28"/>
          <w:szCs w:val="28"/>
        </w:rPr>
        <w:t xml:space="preserve">). </w:t>
      </w:r>
      <w:r w:rsidRPr="00EB6537">
        <w:rPr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sz w:val="28"/>
          <w:szCs w:val="28"/>
        </w:rPr>
        <w:t>,</w:t>
      </w:r>
      <w:r w:rsidRPr="006F00E2">
        <w:rPr>
          <w:sz w:val="28"/>
          <w:szCs w:val="28"/>
        </w:rPr>
        <w:t xml:space="preserve"> поступает в бюджет городского округа по нормативу 100 процентов.</w:t>
      </w:r>
    </w:p>
    <w:p w:rsidR="00962674" w:rsidRDefault="00172497" w:rsidP="00962674">
      <w:pPr>
        <w:shd w:val="clear" w:color="auto" w:fill="FFFFFF"/>
        <w:spacing w:line="312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</w:t>
      </w:r>
      <w:r w:rsidR="00962674" w:rsidRPr="006F00E2">
        <w:rPr>
          <w:sz w:val="28"/>
          <w:szCs w:val="28"/>
        </w:rPr>
        <w:t xml:space="preserve"> налог</w:t>
      </w:r>
      <w:r w:rsidR="00962674">
        <w:rPr>
          <w:sz w:val="28"/>
          <w:szCs w:val="28"/>
        </w:rPr>
        <w:t>а</w:t>
      </w:r>
      <w:r w:rsidR="00962674" w:rsidRPr="006F00E2">
        <w:rPr>
          <w:sz w:val="28"/>
          <w:szCs w:val="28"/>
        </w:rPr>
        <w:t xml:space="preserve"> </w:t>
      </w:r>
      <w:r w:rsidR="00962674">
        <w:rPr>
          <w:sz w:val="28"/>
          <w:szCs w:val="28"/>
        </w:rPr>
        <w:t xml:space="preserve">на 2017 год прогнозируются на уровне ожидаемых поступлений в </w:t>
      </w:r>
      <w:r w:rsidR="00962674" w:rsidRPr="00BD7531">
        <w:rPr>
          <w:sz w:val="28"/>
          <w:szCs w:val="28"/>
        </w:rPr>
        <w:t>2016 году</w:t>
      </w:r>
      <w:r w:rsidR="00962674">
        <w:rPr>
          <w:sz w:val="28"/>
          <w:szCs w:val="28"/>
        </w:rPr>
        <w:t xml:space="preserve">, </w:t>
      </w:r>
      <w:r>
        <w:rPr>
          <w:sz w:val="28"/>
          <w:szCs w:val="28"/>
        </w:rPr>
        <w:t>с ростом</w:t>
      </w:r>
      <w:r w:rsidR="00962674">
        <w:rPr>
          <w:sz w:val="28"/>
          <w:szCs w:val="28"/>
        </w:rPr>
        <w:t xml:space="preserve"> </w:t>
      </w:r>
      <w:r w:rsidR="00962674" w:rsidRPr="00BD7531">
        <w:rPr>
          <w:sz w:val="28"/>
          <w:szCs w:val="28"/>
        </w:rPr>
        <w:t>к утвержденному плану на 2016</w:t>
      </w:r>
      <w:r w:rsidR="00962674">
        <w:rPr>
          <w:sz w:val="28"/>
          <w:szCs w:val="28"/>
        </w:rPr>
        <w:t xml:space="preserve"> год </w:t>
      </w:r>
      <w:r w:rsidR="00962674" w:rsidRPr="00BD7531">
        <w:rPr>
          <w:sz w:val="28"/>
          <w:szCs w:val="28"/>
        </w:rPr>
        <w:t xml:space="preserve">на </w:t>
      </w:r>
      <w:r>
        <w:rPr>
          <w:sz w:val="28"/>
          <w:szCs w:val="28"/>
        </w:rPr>
        <w:t>15,9</w:t>
      </w:r>
      <w:r w:rsidR="00962674" w:rsidRPr="00BD7531">
        <w:rPr>
          <w:sz w:val="28"/>
          <w:szCs w:val="28"/>
        </w:rPr>
        <w:t xml:space="preserve"> процент</w:t>
      </w:r>
      <w:r w:rsidR="00962674">
        <w:rPr>
          <w:sz w:val="28"/>
          <w:szCs w:val="28"/>
        </w:rPr>
        <w:t>ов</w:t>
      </w:r>
      <w:r w:rsidR="00962674" w:rsidRPr="00BD7531">
        <w:rPr>
          <w:sz w:val="28"/>
          <w:szCs w:val="28"/>
        </w:rPr>
        <w:t xml:space="preserve">. В 2018–2019 годах прогнозируется </w:t>
      </w:r>
      <w:r>
        <w:rPr>
          <w:sz w:val="28"/>
          <w:szCs w:val="28"/>
        </w:rPr>
        <w:t xml:space="preserve">с незначительным ростом к </w:t>
      </w:r>
      <w:r w:rsidR="00962674" w:rsidRPr="00BD7531">
        <w:rPr>
          <w:sz w:val="28"/>
          <w:szCs w:val="28"/>
        </w:rPr>
        <w:t>поступлени</w:t>
      </w:r>
      <w:r>
        <w:rPr>
          <w:sz w:val="28"/>
          <w:szCs w:val="28"/>
        </w:rPr>
        <w:t>ям</w:t>
      </w:r>
      <w:r w:rsidR="00962674" w:rsidRPr="00BD7531">
        <w:rPr>
          <w:sz w:val="28"/>
          <w:szCs w:val="28"/>
        </w:rPr>
        <w:t xml:space="preserve"> </w:t>
      </w:r>
      <w:r w:rsidR="00962674">
        <w:rPr>
          <w:sz w:val="28"/>
          <w:szCs w:val="28"/>
        </w:rPr>
        <w:t>в прогнозном 2017 году.</w:t>
      </w:r>
    </w:p>
    <w:p w:rsidR="00962674" w:rsidRDefault="00962674" w:rsidP="003E3A8B">
      <w:pPr>
        <w:ind w:firstLine="7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2732F8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2732F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2732F8">
        <w:rPr>
          <w:sz w:val="28"/>
          <w:szCs w:val="28"/>
        </w:rPr>
        <w:t xml:space="preserve"> годы рассчитаны на основании данных о налоговой базе за 201</w:t>
      </w:r>
      <w:r>
        <w:rPr>
          <w:sz w:val="28"/>
          <w:szCs w:val="28"/>
        </w:rPr>
        <w:t>6</w:t>
      </w:r>
      <w:r w:rsidRPr="002732F8">
        <w:rPr>
          <w:sz w:val="28"/>
          <w:szCs w:val="28"/>
        </w:rPr>
        <w:t xml:space="preserve"> год, динамики поступлений в теку</w:t>
      </w:r>
      <w:r>
        <w:rPr>
          <w:sz w:val="28"/>
          <w:szCs w:val="28"/>
        </w:rPr>
        <w:t xml:space="preserve">щем году. </w:t>
      </w:r>
      <w:r w:rsidRPr="001C7B7E">
        <w:rPr>
          <w:sz w:val="28"/>
          <w:szCs w:val="28"/>
        </w:rPr>
        <w:t xml:space="preserve">Кроме того, при прогнозировании </w:t>
      </w:r>
      <w:r w:rsidR="003E3A8B">
        <w:rPr>
          <w:sz w:val="28"/>
          <w:szCs w:val="28"/>
        </w:rPr>
        <w:t xml:space="preserve">на 2017 год </w:t>
      </w:r>
      <w:r w:rsidRPr="003E3A8B">
        <w:rPr>
          <w:sz w:val="28"/>
          <w:szCs w:val="28"/>
        </w:rPr>
        <w:t>учтены предполагаем</w:t>
      </w:r>
      <w:r w:rsidR="003E3A8B" w:rsidRPr="003E3A8B">
        <w:rPr>
          <w:sz w:val="28"/>
          <w:szCs w:val="28"/>
        </w:rPr>
        <w:t>ое</w:t>
      </w:r>
      <w:r w:rsidRPr="003E3A8B">
        <w:rPr>
          <w:sz w:val="28"/>
          <w:szCs w:val="28"/>
        </w:rPr>
        <w:t xml:space="preserve"> расширение налоговой базы и сокращение объема задолженности.</w:t>
      </w:r>
    </w:p>
    <w:p w:rsidR="008417D3" w:rsidRDefault="008417D3" w:rsidP="003E3A8B">
      <w:pPr>
        <w:ind w:firstLine="744"/>
        <w:jc w:val="both"/>
        <w:rPr>
          <w:sz w:val="28"/>
          <w:szCs w:val="28"/>
        </w:rPr>
      </w:pPr>
    </w:p>
    <w:p w:rsidR="008417D3" w:rsidRPr="006F00E2" w:rsidRDefault="008417D3" w:rsidP="008417D3">
      <w:pPr>
        <w:jc w:val="center"/>
        <w:rPr>
          <w:sz w:val="28"/>
          <w:szCs w:val="28"/>
        </w:rPr>
      </w:pPr>
      <w:r w:rsidRPr="006F00E2">
        <w:rPr>
          <w:sz w:val="28"/>
          <w:szCs w:val="28"/>
        </w:rPr>
        <w:t>Единый сельскохозяйственный налог</w:t>
      </w:r>
    </w:p>
    <w:p w:rsidR="008417D3" w:rsidRPr="006F00E2" w:rsidRDefault="008417D3" w:rsidP="008417D3">
      <w:pPr>
        <w:ind w:firstLine="744"/>
        <w:jc w:val="both"/>
        <w:rPr>
          <w:sz w:val="28"/>
          <w:szCs w:val="28"/>
        </w:rPr>
      </w:pPr>
    </w:p>
    <w:p w:rsidR="00AF0C0C" w:rsidRDefault="008417D3" w:rsidP="00AF0C0C">
      <w:pPr>
        <w:shd w:val="clear" w:color="auto" w:fill="FFFFFF"/>
        <w:spacing w:line="312" w:lineRule="exact"/>
        <w:ind w:right="14" w:firstLine="709"/>
        <w:jc w:val="both"/>
        <w:rPr>
          <w:sz w:val="28"/>
          <w:szCs w:val="28"/>
        </w:rPr>
      </w:pPr>
      <w:r w:rsidRPr="006F00E2">
        <w:rPr>
          <w:sz w:val="28"/>
          <w:szCs w:val="28"/>
        </w:rPr>
        <w:t xml:space="preserve">Единый сельскохозяйственный налог поступает в бюджет городского округа по нормативу 100 процентов. </w:t>
      </w:r>
      <w:r w:rsidR="00AF0C0C">
        <w:rPr>
          <w:sz w:val="28"/>
          <w:szCs w:val="28"/>
        </w:rPr>
        <w:t>Поступления</w:t>
      </w:r>
      <w:r w:rsidR="00AF0C0C" w:rsidRPr="006F00E2">
        <w:rPr>
          <w:sz w:val="28"/>
          <w:szCs w:val="28"/>
        </w:rPr>
        <w:t xml:space="preserve"> налог</w:t>
      </w:r>
      <w:r w:rsidR="00AF0C0C">
        <w:rPr>
          <w:sz w:val="28"/>
          <w:szCs w:val="28"/>
        </w:rPr>
        <w:t>а</w:t>
      </w:r>
      <w:r w:rsidR="00AF0C0C" w:rsidRPr="006F00E2">
        <w:rPr>
          <w:sz w:val="28"/>
          <w:szCs w:val="28"/>
        </w:rPr>
        <w:t xml:space="preserve"> </w:t>
      </w:r>
      <w:r w:rsidR="00AF0C0C">
        <w:rPr>
          <w:sz w:val="28"/>
          <w:szCs w:val="28"/>
        </w:rPr>
        <w:t xml:space="preserve">на 2017 год прогнозируются на уровне ожидаемых поступлений в </w:t>
      </w:r>
      <w:r w:rsidR="00AF0C0C" w:rsidRPr="00BD7531">
        <w:rPr>
          <w:sz w:val="28"/>
          <w:szCs w:val="28"/>
        </w:rPr>
        <w:t>2016 году</w:t>
      </w:r>
      <w:r w:rsidR="00AF0C0C">
        <w:rPr>
          <w:sz w:val="28"/>
          <w:szCs w:val="28"/>
        </w:rPr>
        <w:t xml:space="preserve">, в сумме        0,1 млн. рублей, с ростом </w:t>
      </w:r>
      <w:r w:rsidR="00AF0C0C" w:rsidRPr="00BD7531">
        <w:rPr>
          <w:sz w:val="28"/>
          <w:szCs w:val="28"/>
        </w:rPr>
        <w:t>к утвержденному плану на 2016</w:t>
      </w:r>
      <w:r w:rsidR="00AF0C0C">
        <w:rPr>
          <w:sz w:val="28"/>
          <w:szCs w:val="28"/>
        </w:rPr>
        <w:t xml:space="preserve"> год в 3 раза</w:t>
      </w:r>
      <w:r w:rsidR="00AF0C0C" w:rsidRPr="00BD7531">
        <w:rPr>
          <w:sz w:val="28"/>
          <w:szCs w:val="28"/>
        </w:rPr>
        <w:t xml:space="preserve">. В 2018–2019 годах прогнозируется </w:t>
      </w:r>
      <w:r w:rsidR="00AF0C0C">
        <w:rPr>
          <w:sz w:val="28"/>
          <w:szCs w:val="28"/>
        </w:rPr>
        <w:t xml:space="preserve">с незначительным ростом к </w:t>
      </w:r>
      <w:r w:rsidR="00AF0C0C" w:rsidRPr="00BD7531">
        <w:rPr>
          <w:sz w:val="28"/>
          <w:szCs w:val="28"/>
        </w:rPr>
        <w:t>поступлени</w:t>
      </w:r>
      <w:r w:rsidR="00AF0C0C">
        <w:rPr>
          <w:sz w:val="28"/>
          <w:szCs w:val="28"/>
        </w:rPr>
        <w:t>ям</w:t>
      </w:r>
      <w:r w:rsidR="00AF0C0C" w:rsidRPr="00BD7531">
        <w:rPr>
          <w:sz w:val="28"/>
          <w:szCs w:val="28"/>
        </w:rPr>
        <w:t xml:space="preserve"> </w:t>
      </w:r>
      <w:r w:rsidR="00AF0C0C">
        <w:rPr>
          <w:sz w:val="28"/>
          <w:szCs w:val="28"/>
        </w:rPr>
        <w:t>в прогнозном 2017 году.</w:t>
      </w:r>
    </w:p>
    <w:p w:rsidR="008417D3" w:rsidRPr="00962643" w:rsidRDefault="00AF0C0C" w:rsidP="00AF0C0C">
      <w:pPr>
        <w:ind w:firstLine="74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2732F8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2732F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2732F8">
        <w:rPr>
          <w:sz w:val="28"/>
          <w:szCs w:val="28"/>
        </w:rPr>
        <w:t xml:space="preserve"> годы рассчитаны на основании данных о налоговой базе за 201</w:t>
      </w:r>
      <w:r w:rsidR="0012701E">
        <w:rPr>
          <w:sz w:val="28"/>
          <w:szCs w:val="28"/>
        </w:rPr>
        <w:t>5</w:t>
      </w:r>
      <w:r w:rsidRPr="002732F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2732F8">
        <w:rPr>
          <w:sz w:val="28"/>
          <w:szCs w:val="28"/>
        </w:rPr>
        <w:t xml:space="preserve"> динамики поступлений в теку</w:t>
      </w:r>
      <w:r>
        <w:rPr>
          <w:sz w:val="28"/>
          <w:szCs w:val="28"/>
        </w:rPr>
        <w:t xml:space="preserve">щем году. </w:t>
      </w:r>
    </w:p>
    <w:p w:rsidR="008417D3" w:rsidRPr="003E3A8B" w:rsidRDefault="008417D3" w:rsidP="003E3A8B">
      <w:pPr>
        <w:ind w:firstLine="744"/>
        <w:jc w:val="both"/>
        <w:rPr>
          <w:sz w:val="28"/>
          <w:szCs w:val="28"/>
        </w:rPr>
      </w:pPr>
    </w:p>
    <w:p w:rsidR="00523F5C" w:rsidRDefault="00523F5C" w:rsidP="00523F5C">
      <w:pPr>
        <w:jc w:val="center"/>
        <w:rPr>
          <w:b/>
          <w:sz w:val="28"/>
          <w:szCs w:val="28"/>
        </w:rPr>
      </w:pPr>
    </w:p>
    <w:p w:rsidR="00523F5C" w:rsidRPr="00523F5C" w:rsidRDefault="00523F5C" w:rsidP="00523F5C">
      <w:pPr>
        <w:jc w:val="center"/>
        <w:rPr>
          <w:b/>
          <w:sz w:val="28"/>
          <w:szCs w:val="28"/>
        </w:rPr>
      </w:pPr>
      <w:r w:rsidRPr="00523F5C">
        <w:rPr>
          <w:b/>
          <w:sz w:val="28"/>
          <w:szCs w:val="28"/>
        </w:rPr>
        <w:t>Налоги на имущество</w:t>
      </w:r>
    </w:p>
    <w:p w:rsidR="00962674" w:rsidRDefault="00962674" w:rsidP="00C93C17">
      <w:pPr>
        <w:jc w:val="center"/>
        <w:rPr>
          <w:b/>
          <w:sz w:val="28"/>
          <w:szCs w:val="28"/>
        </w:rPr>
      </w:pPr>
    </w:p>
    <w:p w:rsidR="00C93C17" w:rsidRPr="00523F5C" w:rsidRDefault="00C93C17" w:rsidP="00C93C17">
      <w:pPr>
        <w:jc w:val="center"/>
        <w:rPr>
          <w:sz w:val="28"/>
          <w:szCs w:val="28"/>
        </w:rPr>
      </w:pPr>
      <w:r w:rsidRPr="00523F5C">
        <w:rPr>
          <w:sz w:val="28"/>
          <w:szCs w:val="28"/>
        </w:rPr>
        <w:t xml:space="preserve">Налог на имущество </w:t>
      </w:r>
      <w:r w:rsidR="005E683D" w:rsidRPr="00523F5C">
        <w:rPr>
          <w:sz w:val="28"/>
          <w:szCs w:val="28"/>
        </w:rPr>
        <w:t>физических лиц</w:t>
      </w:r>
    </w:p>
    <w:p w:rsidR="00C93C17" w:rsidRPr="00B413C0" w:rsidRDefault="00C93C17" w:rsidP="00C93C17">
      <w:pPr>
        <w:jc w:val="center"/>
        <w:rPr>
          <w:sz w:val="28"/>
          <w:szCs w:val="28"/>
        </w:rPr>
      </w:pPr>
    </w:p>
    <w:p w:rsidR="00C93C17" w:rsidRPr="00B413C0" w:rsidRDefault="00C93C17" w:rsidP="00C93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3C0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B413C0">
        <w:rPr>
          <w:sz w:val="28"/>
          <w:szCs w:val="28"/>
        </w:rPr>
        <w:t xml:space="preserve">поступлений налога на имущество </w:t>
      </w:r>
      <w:r w:rsidR="005E683D">
        <w:rPr>
          <w:sz w:val="28"/>
          <w:szCs w:val="28"/>
        </w:rPr>
        <w:t>физических лиц</w:t>
      </w:r>
      <w:r w:rsidRPr="00B413C0">
        <w:rPr>
          <w:sz w:val="28"/>
          <w:szCs w:val="28"/>
        </w:rPr>
        <w:t xml:space="preserve"> пр</w:t>
      </w:r>
      <w:r w:rsidR="005E683D">
        <w:rPr>
          <w:sz w:val="28"/>
          <w:szCs w:val="28"/>
        </w:rPr>
        <w:t xml:space="preserve">едставлен </w:t>
      </w:r>
      <w:r w:rsidRPr="00B413C0">
        <w:rPr>
          <w:sz w:val="28"/>
          <w:szCs w:val="28"/>
        </w:rPr>
        <w:t>в следующей таблице.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6"/>
        <w:gridCol w:w="1653"/>
        <w:gridCol w:w="1103"/>
        <w:gridCol w:w="1101"/>
        <w:gridCol w:w="1099"/>
      </w:tblGrid>
      <w:tr w:rsidR="00C93C17" w:rsidRPr="00B413C0" w:rsidTr="00A904AC">
        <w:trPr>
          <w:trHeight w:hRule="exact" w:val="318"/>
          <w:tblHeader/>
        </w:trPr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B413C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3C0">
              <w:t>Наименование показателя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B413C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3C0">
              <w:t>2016 год</w:t>
            </w:r>
          </w:p>
          <w:p w:rsidR="005E683D" w:rsidRPr="00F920E1" w:rsidRDefault="005E683D" w:rsidP="005E683D">
            <w:pPr>
              <w:jc w:val="center"/>
            </w:pPr>
            <w:r w:rsidRPr="00F920E1">
              <w:t xml:space="preserve">Решение </w:t>
            </w:r>
          </w:p>
          <w:p w:rsidR="00C93C17" w:rsidRDefault="005E683D" w:rsidP="005E68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0E1">
              <w:t>№ 3-42/01</w:t>
            </w:r>
          </w:p>
          <w:p w:rsidR="005E683D" w:rsidRDefault="005E683D" w:rsidP="005E68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E683D" w:rsidRPr="00B413C0" w:rsidRDefault="005E683D" w:rsidP="005E68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B413C0" w:rsidRDefault="00C93C17" w:rsidP="00A904AC">
            <w:pPr>
              <w:widowControl w:val="0"/>
              <w:autoSpaceDE w:val="0"/>
              <w:autoSpaceDN w:val="0"/>
              <w:adjustRightInd w:val="0"/>
              <w:ind w:left="79" w:right="-185" w:hanging="79"/>
              <w:jc w:val="center"/>
            </w:pPr>
            <w:r w:rsidRPr="00B413C0">
              <w:t>Проект</w:t>
            </w:r>
          </w:p>
        </w:tc>
      </w:tr>
      <w:tr w:rsidR="00C93C17" w:rsidRPr="00B413C0" w:rsidTr="00A904AC">
        <w:trPr>
          <w:trHeight w:hRule="exact" w:val="432"/>
          <w:tblHeader/>
        </w:trPr>
        <w:tc>
          <w:tcPr>
            <w:tcW w:w="2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B413C0" w:rsidRDefault="00C93C17" w:rsidP="00A904AC"/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B413C0" w:rsidRDefault="00C93C17" w:rsidP="00A904AC">
            <w:pPr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B413C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3C0">
              <w:t>2017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B413C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3C0">
              <w:t>2018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B413C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3C0">
              <w:t>2019 год</w:t>
            </w:r>
          </w:p>
        </w:tc>
      </w:tr>
      <w:tr w:rsidR="00C93C17" w:rsidRPr="00B413C0" w:rsidTr="00A904AC">
        <w:trPr>
          <w:trHeight w:val="3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7A5DC2" w:rsidRDefault="00C93C17" w:rsidP="005E683D">
            <w:pPr>
              <w:jc w:val="center"/>
            </w:pPr>
            <w:r w:rsidRPr="007A5DC2">
              <w:t xml:space="preserve">Налог на имущество </w:t>
            </w:r>
            <w:r w:rsidR="005E683D">
              <w:t>физических лиц</w:t>
            </w:r>
          </w:p>
        </w:tc>
      </w:tr>
      <w:tr w:rsidR="00C93C17" w:rsidRPr="00B413C0" w:rsidTr="00A904AC">
        <w:trPr>
          <w:trHeight w:hRule="exact" w:val="308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C93C17" w:rsidP="00A904AC">
            <w:r w:rsidRPr="00B413C0">
              <w:t>Объем доходов, млн. рублей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5E683D" w:rsidP="00A904AC">
            <w:pPr>
              <w:jc w:val="center"/>
            </w:pPr>
            <w:r>
              <w:t>18,3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5E683D" w:rsidP="00A904AC">
            <w:pPr>
              <w:jc w:val="center"/>
            </w:pPr>
            <w:r>
              <w:t>16,3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5E683D" w:rsidP="005E683D">
            <w:pPr>
              <w:jc w:val="center"/>
            </w:pPr>
            <w:r>
              <w:t>18,0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5E683D" w:rsidP="00A904AC">
            <w:pPr>
              <w:jc w:val="center"/>
            </w:pPr>
            <w:r>
              <w:t>20,0</w:t>
            </w:r>
          </w:p>
        </w:tc>
      </w:tr>
      <w:tr w:rsidR="00C93C17" w:rsidRPr="00B413C0" w:rsidTr="00A904AC">
        <w:trPr>
          <w:trHeight w:hRule="exact" w:val="55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C93C17" w:rsidP="00A904AC">
            <w:r w:rsidRPr="00B413C0">
              <w:t xml:space="preserve">Доля в общем объеме налоговых </w:t>
            </w:r>
          </w:p>
          <w:p w:rsidR="00C93C17" w:rsidRPr="00B413C0" w:rsidRDefault="00C93C17" w:rsidP="00A904AC">
            <w:r w:rsidRPr="00B413C0">
              <w:t>и налоговых доходов бюджета, 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37247D" w:rsidP="00A904AC">
            <w:pPr>
              <w:jc w:val="center"/>
            </w:pPr>
            <w:r>
              <w:t>2,1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5E683D" w:rsidP="00A904AC">
            <w:pPr>
              <w:jc w:val="center"/>
            </w:pPr>
            <w: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5E683D" w:rsidP="00A904AC">
            <w:pPr>
              <w:jc w:val="center"/>
            </w:pPr>
            <w:r>
              <w:t>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5E683D" w:rsidP="00A904AC">
            <w:pPr>
              <w:jc w:val="center"/>
            </w:pPr>
            <w:r>
              <w:t>2,1</w:t>
            </w:r>
          </w:p>
        </w:tc>
      </w:tr>
      <w:tr w:rsidR="00C93C17" w:rsidRPr="00B413C0" w:rsidTr="00A904AC">
        <w:trPr>
          <w:trHeight w:hRule="exact" w:val="54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C93C17" w:rsidP="00A904AC">
            <w:r w:rsidRPr="00B413C0">
              <w:t xml:space="preserve">Прирост (снижение) </w:t>
            </w:r>
            <w:r w:rsidRPr="00B413C0">
              <w:br/>
              <w:t>к предыдущему году, млн. рублей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C93C17" w:rsidP="00A904AC">
            <w:pPr>
              <w:jc w:val="center"/>
            </w:pPr>
            <w:r w:rsidRPr="00B413C0">
              <w:rPr>
                <w:lang w:val="en-US"/>
              </w:rPr>
              <w:t>x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BC575C" w:rsidP="00A904AC">
            <w:pPr>
              <w:jc w:val="center"/>
            </w:pPr>
            <w:r>
              <w:t>-2,0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BC575C" w:rsidP="00A904AC">
            <w:pPr>
              <w:jc w:val="center"/>
            </w:pPr>
            <w:r>
              <w:t>1,7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413C0" w:rsidRDefault="00BC575C" w:rsidP="00A904AC">
            <w:pPr>
              <w:jc w:val="center"/>
            </w:pPr>
            <w:r>
              <w:t>2,0</w:t>
            </w:r>
          </w:p>
        </w:tc>
      </w:tr>
    </w:tbl>
    <w:p w:rsidR="00BF6AF2" w:rsidRDefault="00C93C17" w:rsidP="00C93C17">
      <w:pPr>
        <w:shd w:val="clear" w:color="auto" w:fill="FFFFFF"/>
        <w:ind w:firstLine="715"/>
        <w:jc w:val="both"/>
        <w:rPr>
          <w:sz w:val="28"/>
          <w:szCs w:val="28"/>
        </w:rPr>
      </w:pPr>
      <w:r w:rsidRPr="00B413C0">
        <w:rPr>
          <w:sz w:val="28"/>
          <w:szCs w:val="28"/>
        </w:rPr>
        <w:t xml:space="preserve">Поступления налога на имущество </w:t>
      </w:r>
      <w:r w:rsidR="0037247D">
        <w:rPr>
          <w:sz w:val="28"/>
          <w:szCs w:val="28"/>
        </w:rPr>
        <w:t>физических лиц</w:t>
      </w:r>
      <w:r w:rsidRPr="00B413C0">
        <w:rPr>
          <w:sz w:val="28"/>
          <w:szCs w:val="28"/>
        </w:rPr>
        <w:t xml:space="preserve"> в 2017 году прогнозируются </w:t>
      </w:r>
      <w:r w:rsidR="0037247D">
        <w:rPr>
          <w:sz w:val="28"/>
          <w:szCs w:val="28"/>
        </w:rPr>
        <w:t>со снижением к</w:t>
      </w:r>
      <w:r w:rsidR="0037247D" w:rsidRPr="00B413C0">
        <w:rPr>
          <w:sz w:val="28"/>
          <w:szCs w:val="28"/>
        </w:rPr>
        <w:t xml:space="preserve"> утвержденно</w:t>
      </w:r>
      <w:r w:rsidR="0037247D">
        <w:rPr>
          <w:sz w:val="28"/>
          <w:szCs w:val="28"/>
        </w:rPr>
        <w:t>му</w:t>
      </w:r>
      <w:r w:rsidR="0037247D" w:rsidRPr="00B413C0">
        <w:rPr>
          <w:sz w:val="28"/>
          <w:szCs w:val="28"/>
        </w:rPr>
        <w:t xml:space="preserve"> план</w:t>
      </w:r>
      <w:r w:rsidR="0037247D">
        <w:rPr>
          <w:sz w:val="28"/>
          <w:szCs w:val="28"/>
        </w:rPr>
        <w:t xml:space="preserve">у на 2016 год </w:t>
      </w:r>
      <w:r w:rsidRPr="00B413C0">
        <w:rPr>
          <w:sz w:val="28"/>
          <w:szCs w:val="28"/>
        </w:rPr>
        <w:t xml:space="preserve">на </w:t>
      </w:r>
      <w:r w:rsidR="0037247D">
        <w:rPr>
          <w:sz w:val="28"/>
          <w:szCs w:val="28"/>
        </w:rPr>
        <w:t>10,9</w:t>
      </w:r>
      <w:r w:rsidRPr="00B413C0">
        <w:rPr>
          <w:sz w:val="28"/>
          <w:szCs w:val="28"/>
        </w:rPr>
        <w:t xml:space="preserve"> процента </w:t>
      </w:r>
      <w:r w:rsidR="00BF6AF2">
        <w:rPr>
          <w:sz w:val="28"/>
          <w:szCs w:val="28"/>
        </w:rPr>
        <w:t xml:space="preserve">и с ростом </w:t>
      </w:r>
      <w:r w:rsidRPr="00B413C0">
        <w:rPr>
          <w:sz w:val="28"/>
          <w:szCs w:val="28"/>
        </w:rPr>
        <w:t>к ожи</w:t>
      </w:r>
      <w:r w:rsidR="00BF6AF2">
        <w:rPr>
          <w:sz w:val="28"/>
          <w:szCs w:val="28"/>
        </w:rPr>
        <w:t xml:space="preserve">даемым поступлениям налога </w:t>
      </w:r>
      <w:r w:rsidRPr="00B413C0">
        <w:rPr>
          <w:sz w:val="28"/>
          <w:szCs w:val="28"/>
        </w:rPr>
        <w:t xml:space="preserve">за 2016 год, которые оцениваются </w:t>
      </w:r>
      <w:r w:rsidR="00BF6AF2">
        <w:rPr>
          <w:sz w:val="28"/>
          <w:szCs w:val="28"/>
        </w:rPr>
        <w:t>в объеме 15 млн. рублей.</w:t>
      </w:r>
      <w:r w:rsidR="002D208B" w:rsidRPr="002D208B">
        <w:rPr>
          <w:sz w:val="28"/>
          <w:szCs w:val="28"/>
        </w:rPr>
        <w:t xml:space="preserve"> </w:t>
      </w:r>
      <w:r w:rsidR="002D208B" w:rsidRPr="00BD7531">
        <w:rPr>
          <w:sz w:val="28"/>
          <w:szCs w:val="28"/>
        </w:rPr>
        <w:t xml:space="preserve">В 2018–2019 годах прогнозируется </w:t>
      </w:r>
      <w:r w:rsidR="00C707AE">
        <w:rPr>
          <w:sz w:val="28"/>
          <w:szCs w:val="28"/>
        </w:rPr>
        <w:t>с</w:t>
      </w:r>
      <w:r w:rsidR="002D208B">
        <w:rPr>
          <w:sz w:val="28"/>
          <w:szCs w:val="28"/>
        </w:rPr>
        <w:t xml:space="preserve"> ростом к </w:t>
      </w:r>
      <w:r w:rsidR="002D208B" w:rsidRPr="00BD7531">
        <w:rPr>
          <w:sz w:val="28"/>
          <w:szCs w:val="28"/>
        </w:rPr>
        <w:t>поступлени</w:t>
      </w:r>
      <w:r w:rsidR="002D208B">
        <w:rPr>
          <w:sz w:val="28"/>
          <w:szCs w:val="28"/>
        </w:rPr>
        <w:t>ям</w:t>
      </w:r>
      <w:r w:rsidR="002D208B" w:rsidRPr="00BD7531">
        <w:rPr>
          <w:sz w:val="28"/>
          <w:szCs w:val="28"/>
        </w:rPr>
        <w:t xml:space="preserve"> </w:t>
      </w:r>
      <w:r w:rsidR="002D208B">
        <w:rPr>
          <w:sz w:val="28"/>
          <w:szCs w:val="28"/>
        </w:rPr>
        <w:t>в прогнозном 2017 году</w:t>
      </w:r>
      <w:r w:rsidR="00205A4A">
        <w:rPr>
          <w:sz w:val="28"/>
          <w:szCs w:val="28"/>
        </w:rPr>
        <w:t>.</w:t>
      </w:r>
    </w:p>
    <w:p w:rsidR="00D93BA4" w:rsidRDefault="00D93BA4" w:rsidP="00D93BA4">
      <w:pPr>
        <w:shd w:val="clear" w:color="auto" w:fill="FFFFFF"/>
        <w:ind w:firstLine="715"/>
        <w:jc w:val="both"/>
        <w:rPr>
          <w:color w:val="FF0000"/>
          <w:sz w:val="28"/>
          <w:szCs w:val="28"/>
        </w:rPr>
      </w:pPr>
      <w:r w:rsidRPr="00B413C0">
        <w:rPr>
          <w:sz w:val="28"/>
          <w:szCs w:val="28"/>
        </w:rPr>
        <w:t>При прогнозировании налога учтены:</w:t>
      </w:r>
      <w:r>
        <w:rPr>
          <w:sz w:val="28"/>
          <w:szCs w:val="28"/>
        </w:rPr>
        <w:t xml:space="preserve"> </w:t>
      </w:r>
    </w:p>
    <w:p w:rsidR="00D93BA4" w:rsidRPr="00D93BA4" w:rsidRDefault="00D93BA4" w:rsidP="00D93BA4">
      <w:pPr>
        <w:shd w:val="clear" w:color="auto" w:fill="FFFFFF"/>
        <w:ind w:firstLine="71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ежегодное увеличение налога (сумма исчисленного налога будет исчисляться с применением коэффициентов: за 2016 год – будет применяться коэффициент 0,4; за 2017 год –0,6; за 2018 год –0,8)</w:t>
      </w:r>
      <w:r w:rsidR="00A3745D">
        <w:rPr>
          <w:sz w:val="28"/>
          <w:szCs w:val="28"/>
        </w:rPr>
        <w:t>;</w:t>
      </w:r>
    </w:p>
    <w:p w:rsidR="00D93BA4" w:rsidRPr="00A3745D" w:rsidRDefault="00D93BA4" w:rsidP="00D93BA4">
      <w:pPr>
        <w:shd w:val="clear" w:color="auto" w:fill="FFFFFF"/>
        <w:ind w:firstLine="715"/>
        <w:jc w:val="both"/>
        <w:rPr>
          <w:sz w:val="28"/>
          <w:szCs w:val="28"/>
        </w:rPr>
      </w:pPr>
      <w:r w:rsidRPr="00B413C0">
        <w:rPr>
          <w:sz w:val="28"/>
          <w:szCs w:val="28"/>
        </w:rPr>
        <w:t>«замораживание» с 1 января 2017 года по 1 января 2020 года кадастровой стоимости объектов недвижимос</w:t>
      </w:r>
      <w:r w:rsidR="00A3745D">
        <w:rPr>
          <w:sz w:val="28"/>
          <w:szCs w:val="28"/>
        </w:rPr>
        <w:t xml:space="preserve">ти на уровне 1 января 2014 года </w:t>
      </w:r>
      <w:r w:rsidR="00A3745D" w:rsidRPr="00A3745D">
        <w:rPr>
          <w:sz w:val="28"/>
          <w:szCs w:val="28"/>
        </w:rPr>
        <w:t>в соответствии с Федеральным законом от 3 июля 2016 года № 360-ФЗ «О внесении изменений в отдельные законодательные акты Российской Федерации».</w:t>
      </w:r>
    </w:p>
    <w:p w:rsidR="000B2EA6" w:rsidRDefault="000B2EA6" w:rsidP="000B2EA6">
      <w:pPr>
        <w:shd w:val="clear" w:color="auto" w:fill="FFFFFF"/>
        <w:ind w:firstLine="715"/>
        <w:jc w:val="both"/>
        <w:rPr>
          <w:sz w:val="28"/>
          <w:szCs w:val="28"/>
        </w:rPr>
      </w:pPr>
      <w:r w:rsidRPr="006F00E2">
        <w:rPr>
          <w:sz w:val="28"/>
          <w:szCs w:val="28"/>
        </w:rPr>
        <w:t xml:space="preserve">Налог на имущество физических лиц </w:t>
      </w:r>
      <w:r>
        <w:rPr>
          <w:sz w:val="28"/>
          <w:szCs w:val="28"/>
        </w:rPr>
        <w:t>на 2017 год</w:t>
      </w:r>
      <w:r w:rsidRPr="006F00E2">
        <w:rPr>
          <w:sz w:val="28"/>
          <w:szCs w:val="28"/>
        </w:rPr>
        <w:t xml:space="preserve"> </w:t>
      </w:r>
      <w:r w:rsidRPr="00B413C0">
        <w:rPr>
          <w:sz w:val="28"/>
          <w:szCs w:val="28"/>
        </w:rPr>
        <w:t>определен</w:t>
      </w:r>
      <w:r w:rsidRPr="006F00E2">
        <w:rPr>
          <w:sz w:val="28"/>
          <w:szCs w:val="28"/>
        </w:rPr>
        <w:t xml:space="preserve"> в соответствии с решением Совета городского округа город</w:t>
      </w:r>
      <w:r>
        <w:rPr>
          <w:sz w:val="28"/>
          <w:szCs w:val="28"/>
        </w:rPr>
        <w:t xml:space="preserve"> Нефтекамс</w:t>
      </w:r>
      <w:r w:rsidRPr="006F00E2">
        <w:rPr>
          <w:sz w:val="28"/>
          <w:szCs w:val="28"/>
        </w:rPr>
        <w:t xml:space="preserve">к </w:t>
      </w:r>
      <w:r>
        <w:rPr>
          <w:sz w:val="28"/>
          <w:szCs w:val="28"/>
        </w:rPr>
        <w:t>Республики Башкортостан № 3-29/03 от 26 ноября 2014 года</w:t>
      </w:r>
      <w:r w:rsidRPr="006F00E2">
        <w:rPr>
          <w:sz w:val="28"/>
          <w:szCs w:val="28"/>
        </w:rPr>
        <w:t xml:space="preserve"> «Об установлении налога на имущество физических лиц» </w:t>
      </w:r>
      <w:r>
        <w:rPr>
          <w:sz w:val="28"/>
          <w:szCs w:val="28"/>
        </w:rPr>
        <w:t>исходя из кадастровой стоимости объектов налогообложения</w:t>
      </w:r>
      <w:r w:rsidRPr="000B5217">
        <w:rPr>
          <w:sz w:val="28"/>
          <w:szCs w:val="28"/>
        </w:rPr>
        <w:t xml:space="preserve"> </w:t>
      </w:r>
      <w:r w:rsidRPr="00B413C0">
        <w:rPr>
          <w:sz w:val="28"/>
          <w:szCs w:val="28"/>
        </w:rPr>
        <w:t>с учетом налоговых льгот, ставок налога, средней динамики поступлений налога, изменений законодательства</w:t>
      </w:r>
      <w:r w:rsidRPr="006F00E2">
        <w:rPr>
          <w:sz w:val="28"/>
          <w:szCs w:val="28"/>
        </w:rPr>
        <w:t>. Это местный налог</w:t>
      </w:r>
      <w:r>
        <w:rPr>
          <w:sz w:val="28"/>
          <w:szCs w:val="28"/>
        </w:rPr>
        <w:t xml:space="preserve">, </w:t>
      </w:r>
      <w:r w:rsidRPr="006F00E2">
        <w:rPr>
          <w:sz w:val="28"/>
          <w:szCs w:val="28"/>
        </w:rPr>
        <w:t>полностью поступаю</w:t>
      </w:r>
      <w:r>
        <w:rPr>
          <w:sz w:val="28"/>
          <w:szCs w:val="28"/>
        </w:rPr>
        <w:t>щий</w:t>
      </w:r>
      <w:r w:rsidRPr="006F00E2">
        <w:rPr>
          <w:sz w:val="28"/>
          <w:szCs w:val="28"/>
        </w:rPr>
        <w:t xml:space="preserve"> в бюджет городского округа. </w:t>
      </w:r>
    </w:p>
    <w:p w:rsidR="00E769EF" w:rsidRDefault="00E769EF" w:rsidP="00523F5C">
      <w:pPr>
        <w:jc w:val="center"/>
        <w:rPr>
          <w:sz w:val="28"/>
          <w:szCs w:val="28"/>
        </w:rPr>
      </w:pPr>
    </w:p>
    <w:p w:rsidR="00204DFC" w:rsidRDefault="00204DFC" w:rsidP="00523F5C">
      <w:pPr>
        <w:jc w:val="center"/>
        <w:rPr>
          <w:sz w:val="28"/>
          <w:szCs w:val="28"/>
        </w:rPr>
      </w:pPr>
    </w:p>
    <w:p w:rsidR="00204DFC" w:rsidRDefault="00204DFC" w:rsidP="00523F5C">
      <w:pPr>
        <w:jc w:val="center"/>
        <w:rPr>
          <w:sz w:val="28"/>
          <w:szCs w:val="28"/>
        </w:rPr>
      </w:pPr>
    </w:p>
    <w:p w:rsidR="00204DFC" w:rsidRDefault="00204DFC" w:rsidP="00523F5C">
      <w:pPr>
        <w:jc w:val="center"/>
        <w:rPr>
          <w:sz w:val="28"/>
          <w:szCs w:val="28"/>
        </w:rPr>
      </w:pPr>
    </w:p>
    <w:p w:rsidR="00204DFC" w:rsidRDefault="00204DFC" w:rsidP="00523F5C">
      <w:pPr>
        <w:jc w:val="center"/>
        <w:rPr>
          <w:sz w:val="28"/>
          <w:szCs w:val="28"/>
        </w:rPr>
      </w:pPr>
    </w:p>
    <w:p w:rsidR="00204DFC" w:rsidRDefault="00204DFC" w:rsidP="00523F5C">
      <w:pPr>
        <w:jc w:val="center"/>
        <w:rPr>
          <w:sz w:val="28"/>
          <w:szCs w:val="28"/>
        </w:rPr>
      </w:pPr>
    </w:p>
    <w:p w:rsidR="00204DFC" w:rsidRDefault="00204DFC" w:rsidP="00523F5C">
      <w:pPr>
        <w:jc w:val="center"/>
        <w:rPr>
          <w:sz w:val="28"/>
          <w:szCs w:val="28"/>
        </w:rPr>
      </w:pPr>
    </w:p>
    <w:p w:rsidR="00204DFC" w:rsidRDefault="00204DFC" w:rsidP="00523F5C">
      <w:pPr>
        <w:jc w:val="center"/>
        <w:rPr>
          <w:sz w:val="28"/>
          <w:szCs w:val="28"/>
        </w:rPr>
      </w:pPr>
    </w:p>
    <w:p w:rsidR="00204DFC" w:rsidRDefault="00204DFC" w:rsidP="00523F5C">
      <w:pPr>
        <w:jc w:val="center"/>
        <w:rPr>
          <w:sz w:val="28"/>
          <w:szCs w:val="28"/>
        </w:rPr>
      </w:pPr>
    </w:p>
    <w:p w:rsidR="00523F5C" w:rsidRPr="00523F5C" w:rsidRDefault="00523F5C" w:rsidP="00523F5C">
      <w:pPr>
        <w:jc w:val="center"/>
        <w:rPr>
          <w:sz w:val="28"/>
          <w:szCs w:val="28"/>
        </w:rPr>
      </w:pPr>
      <w:r w:rsidRPr="00523F5C">
        <w:rPr>
          <w:sz w:val="28"/>
          <w:szCs w:val="28"/>
        </w:rPr>
        <w:lastRenderedPageBreak/>
        <w:t>Земельный налог</w:t>
      </w:r>
    </w:p>
    <w:p w:rsidR="00523F5C" w:rsidRPr="00B413C0" w:rsidRDefault="00523F5C" w:rsidP="00523F5C">
      <w:pPr>
        <w:jc w:val="center"/>
        <w:rPr>
          <w:sz w:val="28"/>
          <w:szCs w:val="28"/>
        </w:rPr>
      </w:pPr>
    </w:p>
    <w:p w:rsidR="00523F5C" w:rsidRPr="00523F5C" w:rsidRDefault="00523F5C" w:rsidP="00523F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13C0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B413C0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>земельного налога</w:t>
      </w:r>
      <w:r w:rsidRPr="00B413C0">
        <w:rPr>
          <w:sz w:val="28"/>
          <w:szCs w:val="28"/>
        </w:rPr>
        <w:t xml:space="preserve"> </w:t>
      </w:r>
      <w:r w:rsidRPr="00DC0C7D">
        <w:rPr>
          <w:bCs/>
          <w:sz w:val="28"/>
          <w:szCs w:val="28"/>
        </w:rPr>
        <w:t>характеризуются следующими данными: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6"/>
        <w:gridCol w:w="1653"/>
        <w:gridCol w:w="1103"/>
        <w:gridCol w:w="1101"/>
        <w:gridCol w:w="1099"/>
      </w:tblGrid>
      <w:tr w:rsidR="00523F5C" w:rsidRPr="00B413C0" w:rsidTr="00523F5C">
        <w:trPr>
          <w:trHeight w:hRule="exact" w:val="318"/>
          <w:tblHeader/>
        </w:trPr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5C" w:rsidRPr="00B413C0" w:rsidRDefault="00523F5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3C0">
              <w:t>Наименование показателя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5C" w:rsidRPr="00B413C0" w:rsidRDefault="00523F5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3C0">
              <w:t>2016 год</w:t>
            </w:r>
          </w:p>
          <w:p w:rsidR="00523F5C" w:rsidRPr="00F920E1" w:rsidRDefault="00523F5C" w:rsidP="00523F5C">
            <w:pPr>
              <w:jc w:val="center"/>
            </w:pPr>
            <w:r w:rsidRPr="00F920E1">
              <w:t xml:space="preserve">Решение </w:t>
            </w:r>
          </w:p>
          <w:p w:rsidR="00523F5C" w:rsidRDefault="00523F5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0E1">
              <w:t>№ 3-42/01</w:t>
            </w:r>
          </w:p>
          <w:p w:rsidR="00523F5C" w:rsidRDefault="00523F5C" w:rsidP="00523F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23F5C" w:rsidRPr="00B413C0" w:rsidRDefault="00523F5C" w:rsidP="00523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5C" w:rsidRPr="00B413C0" w:rsidRDefault="00523F5C" w:rsidP="00523F5C">
            <w:pPr>
              <w:widowControl w:val="0"/>
              <w:autoSpaceDE w:val="0"/>
              <w:autoSpaceDN w:val="0"/>
              <w:adjustRightInd w:val="0"/>
              <w:ind w:left="79" w:right="-185" w:hanging="79"/>
              <w:jc w:val="center"/>
            </w:pPr>
            <w:r w:rsidRPr="00B413C0">
              <w:t>Проект</w:t>
            </w:r>
          </w:p>
        </w:tc>
      </w:tr>
      <w:tr w:rsidR="00523F5C" w:rsidRPr="00B413C0" w:rsidTr="00523F5C">
        <w:trPr>
          <w:trHeight w:hRule="exact" w:val="432"/>
          <w:tblHeader/>
        </w:trPr>
        <w:tc>
          <w:tcPr>
            <w:tcW w:w="2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5C" w:rsidRPr="00B413C0" w:rsidRDefault="00523F5C" w:rsidP="00523F5C"/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5C" w:rsidRPr="00B413C0" w:rsidRDefault="00523F5C" w:rsidP="00523F5C">
            <w:pPr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5C" w:rsidRPr="00B413C0" w:rsidRDefault="00523F5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3C0">
              <w:t>2017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5C" w:rsidRPr="00B413C0" w:rsidRDefault="00523F5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3C0">
              <w:t>2018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5C" w:rsidRPr="00B413C0" w:rsidRDefault="00523F5C" w:rsidP="00523F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3C0">
              <w:t>2019 год</w:t>
            </w:r>
          </w:p>
        </w:tc>
      </w:tr>
      <w:tr w:rsidR="00523F5C" w:rsidRPr="00B413C0" w:rsidTr="00523F5C">
        <w:trPr>
          <w:trHeight w:val="3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7A5DC2" w:rsidRDefault="00523F5C" w:rsidP="00523F5C">
            <w:pPr>
              <w:jc w:val="center"/>
            </w:pPr>
            <w:r>
              <w:t>Земельный налог</w:t>
            </w:r>
          </w:p>
        </w:tc>
      </w:tr>
      <w:tr w:rsidR="00523F5C" w:rsidRPr="00B413C0" w:rsidTr="00523F5C">
        <w:trPr>
          <w:trHeight w:hRule="exact" w:val="308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523F5C" w:rsidP="00523F5C">
            <w:r w:rsidRPr="00B413C0">
              <w:t>Объем доходов, млн. рублей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35,1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36,7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37,2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37,7</w:t>
            </w:r>
          </w:p>
        </w:tc>
      </w:tr>
      <w:tr w:rsidR="00523F5C" w:rsidRPr="00B413C0" w:rsidTr="00523F5C">
        <w:trPr>
          <w:trHeight w:hRule="exact" w:val="55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523F5C" w:rsidP="00523F5C">
            <w:r w:rsidRPr="00B413C0">
              <w:t xml:space="preserve">Доля в общем объеме налоговых </w:t>
            </w:r>
          </w:p>
          <w:p w:rsidR="00523F5C" w:rsidRPr="00B413C0" w:rsidRDefault="00523F5C" w:rsidP="00523F5C">
            <w:r w:rsidRPr="00B413C0">
              <w:t>и налоговых доходов бюджета, 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4,0</w:t>
            </w:r>
          </w:p>
        </w:tc>
      </w:tr>
      <w:tr w:rsidR="00523F5C" w:rsidRPr="00B413C0" w:rsidTr="00523F5C">
        <w:trPr>
          <w:trHeight w:hRule="exact" w:val="54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523F5C" w:rsidP="00523F5C">
            <w:r w:rsidRPr="00B413C0">
              <w:t xml:space="preserve">Прирост (снижение) </w:t>
            </w:r>
            <w:r w:rsidRPr="00B413C0">
              <w:br/>
              <w:t>к предыдущему году, млн. рублей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523F5C" w:rsidP="00523F5C">
            <w:pPr>
              <w:jc w:val="center"/>
            </w:pPr>
            <w:r w:rsidRPr="00B413C0">
              <w:rPr>
                <w:lang w:val="en-US"/>
              </w:rPr>
              <w:t>x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1,6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0,5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5C" w:rsidRPr="00B413C0" w:rsidRDefault="00E769EF" w:rsidP="00523F5C">
            <w:pPr>
              <w:jc w:val="center"/>
            </w:pPr>
            <w:r>
              <w:t>0,5</w:t>
            </w:r>
          </w:p>
        </w:tc>
      </w:tr>
    </w:tbl>
    <w:p w:rsidR="00523F5C" w:rsidRDefault="00081BC5" w:rsidP="00081BC5">
      <w:pPr>
        <w:shd w:val="clear" w:color="auto" w:fill="FFFFFF"/>
        <w:spacing w:line="312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</w:t>
      </w:r>
      <w:r w:rsidRPr="006F00E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Pr="006F00E2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6F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2017 год прогнозируются на уровне ожидаемых поступлений в </w:t>
      </w:r>
      <w:r w:rsidRPr="00BD7531">
        <w:rPr>
          <w:sz w:val="28"/>
          <w:szCs w:val="28"/>
        </w:rPr>
        <w:t>2016 году</w:t>
      </w:r>
      <w:r>
        <w:rPr>
          <w:sz w:val="28"/>
          <w:szCs w:val="28"/>
        </w:rPr>
        <w:t xml:space="preserve">, с ростом </w:t>
      </w:r>
      <w:r w:rsidRPr="00BD7531">
        <w:rPr>
          <w:sz w:val="28"/>
          <w:szCs w:val="28"/>
        </w:rPr>
        <w:t>к утвержденному плану на 2016</w:t>
      </w:r>
      <w:r>
        <w:rPr>
          <w:sz w:val="28"/>
          <w:szCs w:val="28"/>
        </w:rPr>
        <w:t xml:space="preserve"> год </w:t>
      </w:r>
      <w:r w:rsidRPr="00BD7531">
        <w:rPr>
          <w:sz w:val="28"/>
          <w:szCs w:val="28"/>
        </w:rPr>
        <w:t xml:space="preserve">на </w:t>
      </w:r>
      <w:r>
        <w:rPr>
          <w:sz w:val="28"/>
          <w:szCs w:val="28"/>
        </w:rPr>
        <w:t>4,6</w:t>
      </w:r>
      <w:r w:rsidRPr="00BD7531">
        <w:rPr>
          <w:sz w:val="28"/>
          <w:szCs w:val="28"/>
        </w:rPr>
        <w:t xml:space="preserve"> процент</w:t>
      </w:r>
      <w:r w:rsidR="00230E6F">
        <w:rPr>
          <w:sz w:val="28"/>
          <w:szCs w:val="28"/>
        </w:rPr>
        <w:t>а</w:t>
      </w:r>
      <w:r w:rsidRPr="00BD7531">
        <w:rPr>
          <w:sz w:val="28"/>
          <w:szCs w:val="28"/>
        </w:rPr>
        <w:t xml:space="preserve">. В 2018–2019 годах прогнозируется </w:t>
      </w:r>
      <w:r>
        <w:rPr>
          <w:sz w:val="28"/>
          <w:szCs w:val="28"/>
        </w:rPr>
        <w:t xml:space="preserve">с незначительным ростом к </w:t>
      </w:r>
      <w:r w:rsidRPr="00BD7531">
        <w:rPr>
          <w:sz w:val="28"/>
          <w:szCs w:val="28"/>
        </w:rPr>
        <w:t>поступлени</w:t>
      </w:r>
      <w:r>
        <w:rPr>
          <w:sz w:val="28"/>
          <w:szCs w:val="28"/>
        </w:rPr>
        <w:t>ям</w:t>
      </w:r>
      <w:r w:rsidRPr="00BD7531">
        <w:rPr>
          <w:sz w:val="28"/>
          <w:szCs w:val="28"/>
        </w:rPr>
        <w:t xml:space="preserve"> </w:t>
      </w:r>
      <w:r>
        <w:rPr>
          <w:sz w:val="28"/>
          <w:szCs w:val="28"/>
        </w:rPr>
        <w:t>в прогнозном 2017 году.</w:t>
      </w:r>
    </w:p>
    <w:p w:rsidR="00523F5C" w:rsidRPr="00081BC5" w:rsidRDefault="00523F5C" w:rsidP="00523F5C">
      <w:pPr>
        <w:shd w:val="clear" w:color="auto" w:fill="FFFFFF"/>
        <w:ind w:firstLine="715"/>
        <w:jc w:val="both"/>
        <w:rPr>
          <w:sz w:val="28"/>
          <w:szCs w:val="28"/>
        </w:rPr>
      </w:pPr>
      <w:r w:rsidRPr="00081BC5">
        <w:rPr>
          <w:sz w:val="28"/>
          <w:szCs w:val="28"/>
        </w:rPr>
        <w:t>Замедление темпа роста в 201</w:t>
      </w:r>
      <w:r w:rsidR="00081BC5" w:rsidRPr="00081BC5">
        <w:rPr>
          <w:sz w:val="28"/>
          <w:szCs w:val="28"/>
        </w:rPr>
        <w:t>8, 2019</w:t>
      </w:r>
      <w:r w:rsidRPr="00081BC5">
        <w:rPr>
          <w:sz w:val="28"/>
          <w:szCs w:val="28"/>
        </w:rPr>
        <w:t xml:space="preserve"> году по сравнению с 201</w:t>
      </w:r>
      <w:r w:rsidR="00081BC5" w:rsidRPr="00081BC5">
        <w:rPr>
          <w:sz w:val="28"/>
          <w:szCs w:val="28"/>
        </w:rPr>
        <w:t>7</w:t>
      </w:r>
      <w:r w:rsidRPr="00081BC5">
        <w:rPr>
          <w:sz w:val="28"/>
          <w:szCs w:val="28"/>
        </w:rPr>
        <w:t xml:space="preserve"> годом объясняется «замораживанием» с 1 января 2017 года кадастровой стоимости объектов недвижимости</w:t>
      </w:r>
      <w:r w:rsidR="00081BC5" w:rsidRPr="00081BC5">
        <w:rPr>
          <w:sz w:val="28"/>
          <w:szCs w:val="28"/>
        </w:rPr>
        <w:t>,</w:t>
      </w:r>
      <w:r w:rsidRPr="00081BC5">
        <w:rPr>
          <w:sz w:val="28"/>
          <w:szCs w:val="28"/>
        </w:rPr>
        <w:t xml:space="preserve"> что </w:t>
      </w:r>
      <w:r w:rsidR="00081BC5" w:rsidRPr="00081BC5">
        <w:rPr>
          <w:sz w:val="28"/>
          <w:szCs w:val="28"/>
        </w:rPr>
        <w:t>отразится на поступлении налога.</w:t>
      </w:r>
    </w:p>
    <w:p w:rsidR="00C93C17" w:rsidRPr="00CF20BD" w:rsidRDefault="00E769EF" w:rsidP="00CF20BD">
      <w:pPr>
        <w:ind w:firstLine="744"/>
        <w:jc w:val="both"/>
        <w:rPr>
          <w:sz w:val="28"/>
        </w:rPr>
      </w:pPr>
      <w:r w:rsidRPr="00946B71">
        <w:rPr>
          <w:sz w:val="28"/>
          <w:szCs w:val="28"/>
        </w:rPr>
        <w:t>Земельный налог является местным налогом и в соответствии с Бюджетным кодексом РФ в размере 100 % зачисляется в бюджет городского округа. Прогноз поступления налога составлен в соответствии с 31 главой «Земельный налог» Налогового кодекса РФ и решени</w:t>
      </w:r>
      <w:r>
        <w:rPr>
          <w:sz w:val="28"/>
          <w:szCs w:val="28"/>
        </w:rPr>
        <w:t>ем</w:t>
      </w:r>
      <w:r w:rsidRPr="00946B71">
        <w:rPr>
          <w:sz w:val="28"/>
          <w:szCs w:val="28"/>
        </w:rPr>
        <w:t xml:space="preserve"> Совета городского округа город Нефтекамск </w:t>
      </w:r>
      <w:r>
        <w:rPr>
          <w:sz w:val="28"/>
          <w:szCs w:val="28"/>
        </w:rPr>
        <w:t xml:space="preserve">от 26 октября 2015 года № </w:t>
      </w:r>
      <w:r w:rsidR="00D74A4C">
        <w:rPr>
          <w:sz w:val="28"/>
          <w:szCs w:val="28"/>
        </w:rPr>
        <w:t>3-40/02</w:t>
      </w:r>
      <w:r>
        <w:rPr>
          <w:sz w:val="28"/>
          <w:szCs w:val="28"/>
        </w:rPr>
        <w:t xml:space="preserve"> </w:t>
      </w:r>
      <w:r w:rsidRPr="00946B71">
        <w:rPr>
          <w:sz w:val="28"/>
          <w:szCs w:val="28"/>
        </w:rPr>
        <w:t xml:space="preserve">«Об установлении земельного налога» </w:t>
      </w:r>
      <w:r w:rsidR="00D74A4C">
        <w:rPr>
          <w:sz w:val="28"/>
          <w:szCs w:val="28"/>
        </w:rPr>
        <w:t>исходя из кадастровой стоимости объектов налогообложения</w:t>
      </w:r>
      <w:r w:rsidR="00D74A4C" w:rsidRPr="000B5217">
        <w:rPr>
          <w:sz w:val="28"/>
          <w:szCs w:val="28"/>
        </w:rPr>
        <w:t xml:space="preserve"> </w:t>
      </w:r>
      <w:r w:rsidR="00D74A4C" w:rsidRPr="00B413C0">
        <w:rPr>
          <w:sz w:val="28"/>
          <w:szCs w:val="28"/>
        </w:rPr>
        <w:t>с учетом налоговых льгот, ставок налога, сред</w:t>
      </w:r>
      <w:r w:rsidR="00D74A4C">
        <w:rPr>
          <w:sz w:val="28"/>
          <w:szCs w:val="28"/>
        </w:rPr>
        <w:t>ней динамики поступлений налога.</w:t>
      </w:r>
    </w:p>
    <w:p w:rsidR="00C93C17" w:rsidRPr="00DC0C7D" w:rsidRDefault="00C93C17" w:rsidP="00C93C17">
      <w:pPr>
        <w:rPr>
          <w:sz w:val="28"/>
          <w:szCs w:val="28"/>
        </w:rPr>
      </w:pPr>
    </w:p>
    <w:p w:rsidR="00C93C17" w:rsidRPr="00ED47D0" w:rsidRDefault="00C93C17" w:rsidP="00C93C17">
      <w:pPr>
        <w:jc w:val="center"/>
        <w:rPr>
          <w:b/>
          <w:sz w:val="28"/>
          <w:szCs w:val="28"/>
        </w:rPr>
      </w:pPr>
      <w:r w:rsidRPr="00ED47D0">
        <w:rPr>
          <w:b/>
          <w:sz w:val="28"/>
          <w:szCs w:val="28"/>
        </w:rPr>
        <w:t>Государственная пошлина</w:t>
      </w:r>
    </w:p>
    <w:p w:rsidR="00C93C17" w:rsidRPr="00ED47D0" w:rsidRDefault="00C93C17" w:rsidP="00C93C17">
      <w:pPr>
        <w:ind w:firstLine="709"/>
        <w:jc w:val="center"/>
        <w:rPr>
          <w:b/>
          <w:sz w:val="28"/>
          <w:szCs w:val="28"/>
        </w:rPr>
      </w:pPr>
    </w:p>
    <w:p w:rsidR="00C93C17" w:rsidRDefault="00C93C17" w:rsidP="00C93C1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47D0">
        <w:rPr>
          <w:bCs/>
          <w:sz w:val="28"/>
          <w:szCs w:val="28"/>
        </w:rPr>
        <w:t>Прогноз поступлений государственной пошлины характеризуется следующими показателями: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701"/>
        <w:gridCol w:w="1134"/>
        <w:gridCol w:w="1134"/>
        <w:gridCol w:w="1131"/>
      </w:tblGrid>
      <w:tr w:rsidR="00C93C17" w:rsidRPr="00ED47D0" w:rsidTr="00A904AC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D47D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7D0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55" w:rsidRPr="00F920E1" w:rsidRDefault="00C93C17" w:rsidP="00427D55">
            <w:pPr>
              <w:jc w:val="center"/>
            </w:pPr>
            <w:r>
              <w:t xml:space="preserve">2016 год </w:t>
            </w:r>
            <w:r w:rsidR="00427D55" w:rsidRPr="00F920E1">
              <w:t xml:space="preserve">Решение </w:t>
            </w:r>
          </w:p>
          <w:p w:rsidR="00C93C17" w:rsidRPr="00ED47D0" w:rsidRDefault="00427D55" w:rsidP="004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0E1">
              <w:t>№ 3-42/01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7D0">
              <w:t>Проект</w:t>
            </w:r>
          </w:p>
        </w:tc>
      </w:tr>
      <w:tr w:rsidR="00C93C17" w:rsidRPr="00ED47D0" w:rsidTr="00A904AC">
        <w:trPr>
          <w:trHeight w:val="23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D47D0" w:rsidRDefault="00C93C17" w:rsidP="00A904A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D47D0" w:rsidRDefault="00C93C17" w:rsidP="00A90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D47D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7D0"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D47D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7D0">
              <w:t>2018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D47D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7D0">
              <w:t>2019 год</w:t>
            </w:r>
          </w:p>
        </w:tc>
      </w:tr>
      <w:tr w:rsidR="00C93C17" w:rsidRPr="00ED47D0" w:rsidTr="00A904AC">
        <w:trPr>
          <w:trHeight w:val="332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54CF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CF2">
              <w:t>Государственная пошлина</w:t>
            </w:r>
          </w:p>
        </w:tc>
      </w:tr>
      <w:tr w:rsidR="00C93C17" w:rsidRPr="00ED47D0" w:rsidTr="00A904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ED47D0">
              <w:t>Объем доходов, 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427D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427D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427D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427D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</w:tr>
      <w:tr w:rsidR="00C93C17" w:rsidRPr="00ED47D0" w:rsidTr="00A904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ED47D0">
              <w:t>Доля в общем объеме налоговых</w:t>
            </w:r>
            <w:r w:rsidRPr="00ED47D0">
              <w:br/>
              <w:t>и неналоговых доходов бюджета,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B033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B033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B033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B033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C93C17" w:rsidRPr="00ED47D0" w:rsidTr="00A904AC">
        <w:trPr>
          <w:trHeight w:val="6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ED47D0">
              <w:t>Прирост (снижение)</w:t>
            </w:r>
          </w:p>
          <w:p w:rsidR="00C93C17" w:rsidRPr="00ED47D0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ED47D0">
              <w:t>к предыдущему году, 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7D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B033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B033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D47D0" w:rsidRDefault="00B03355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</w:tbl>
    <w:p w:rsidR="00C93C17" w:rsidRPr="00ED47D0" w:rsidRDefault="00C93C17" w:rsidP="00C93C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47D0">
        <w:rPr>
          <w:bCs/>
          <w:sz w:val="28"/>
          <w:szCs w:val="28"/>
        </w:rPr>
        <w:t>На 2017 год государственная пошлина прогнозируется с ростом</w:t>
      </w:r>
      <w:r w:rsidRPr="00ED47D0">
        <w:rPr>
          <w:bCs/>
          <w:sz w:val="28"/>
          <w:szCs w:val="28"/>
        </w:rPr>
        <w:br/>
        <w:t xml:space="preserve">на </w:t>
      </w:r>
      <w:r w:rsidR="002E7790">
        <w:rPr>
          <w:bCs/>
          <w:sz w:val="28"/>
          <w:szCs w:val="28"/>
        </w:rPr>
        <w:t>18,1 процент</w:t>
      </w:r>
      <w:r w:rsidRPr="00ED47D0">
        <w:rPr>
          <w:bCs/>
          <w:sz w:val="28"/>
          <w:szCs w:val="28"/>
        </w:rPr>
        <w:t xml:space="preserve"> </w:t>
      </w:r>
      <w:r w:rsidR="00D03320">
        <w:rPr>
          <w:bCs/>
          <w:sz w:val="28"/>
          <w:szCs w:val="28"/>
        </w:rPr>
        <w:t xml:space="preserve">к утвержденному плану 2016 года. </w:t>
      </w:r>
      <w:r w:rsidRPr="00ED47D0">
        <w:rPr>
          <w:bCs/>
          <w:sz w:val="28"/>
          <w:szCs w:val="28"/>
        </w:rPr>
        <w:t>На 2018</w:t>
      </w:r>
      <w:r w:rsidR="002E7790">
        <w:rPr>
          <w:bCs/>
          <w:sz w:val="28"/>
          <w:szCs w:val="28"/>
        </w:rPr>
        <w:t xml:space="preserve"> -2019</w:t>
      </w:r>
      <w:r w:rsidRPr="00ED47D0">
        <w:rPr>
          <w:bCs/>
          <w:sz w:val="28"/>
          <w:szCs w:val="28"/>
        </w:rPr>
        <w:t xml:space="preserve"> год</w:t>
      </w:r>
      <w:r w:rsidR="002E7790">
        <w:rPr>
          <w:bCs/>
          <w:sz w:val="28"/>
          <w:szCs w:val="28"/>
        </w:rPr>
        <w:t>ы</w:t>
      </w:r>
      <w:r w:rsidRPr="00ED47D0">
        <w:rPr>
          <w:bCs/>
          <w:sz w:val="28"/>
          <w:szCs w:val="28"/>
        </w:rPr>
        <w:t xml:space="preserve"> предусматривается </w:t>
      </w:r>
      <w:r w:rsidR="00660122">
        <w:rPr>
          <w:bCs/>
          <w:sz w:val="28"/>
          <w:szCs w:val="28"/>
        </w:rPr>
        <w:t xml:space="preserve">незначительное увеличение </w:t>
      </w:r>
      <w:r w:rsidRPr="00ED47D0">
        <w:rPr>
          <w:bCs/>
          <w:sz w:val="28"/>
          <w:szCs w:val="28"/>
        </w:rPr>
        <w:t>пост</w:t>
      </w:r>
      <w:r w:rsidR="00660122">
        <w:rPr>
          <w:bCs/>
          <w:sz w:val="28"/>
          <w:szCs w:val="28"/>
        </w:rPr>
        <w:t xml:space="preserve">уплений государственной пошлины </w:t>
      </w:r>
      <w:r w:rsidRPr="00ED47D0">
        <w:rPr>
          <w:bCs/>
          <w:sz w:val="28"/>
          <w:szCs w:val="28"/>
        </w:rPr>
        <w:t xml:space="preserve">на </w:t>
      </w:r>
      <w:r w:rsidR="002E7790">
        <w:rPr>
          <w:bCs/>
          <w:sz w:val="28"/>
          <w:szCs w:val="28"/>
        </w:rPr>
        <w:t>3</w:t>
      </w:r>
      <w:r w:rsidRPr="00ED47D0">
        <w:rPr>
          <w:bCs/>
          <w:sz w:val="28"/>
          <w:szCs w:val="28"/>
        </w:rPr>
        <w:t xml:space="preserve"> процента к </w:t>
      </w:r>
      <w:r w:rsidR="00C80F1F">
        <w:rPr>
          <w:bCs/>
          <w:sz w:val="28"/>
          <w:szCs w:val="28"/>
        </w:rPr>
        <w:t xml:space="preserve">прогнозному </w:t>
      </w:r>
      <w:r w:rsidRPr="00ED47D0">
        <w:rPr>
          <w:bCs/>
          <w:sz w:val="28"/>
          <w:szCs w:val="28"/>
        </w:rPr>
        <w:t>2017 году</w:t>
      </w:r>
      <w:r w:rsidR="002E7790">
        <w:rPr>
          <w:bCs/>
          <w:sz w:val="28"/>
          <w:szCs w:val="28"/>
        </w:rPr>
        <w:t>.</w:t>
      </w:r>
    </w:p>
    <w:p w:rsidR="00C93C17" w:rsidRPr="00446C77" w:rsidRDefault="00D03320" w:rsidP="00D03320">
      <w:pPr>
        <w:ind w:firstLine="744"/>
        <w:jc w:val="both"/>
        <w:rPr>
          <w:bCs/>
          <w:sz w:val="28"/>
          <w:szCs w:val="28"/>
        </w:rPr>
      </w:pPr>
      <w:r w:rsidRPr="00446C77">
        <w:rPr>
          <w:bCs/>
          <w:sz w:val="28"/>
          <w:szCs w:val="28"/>
        </w:rPr>
        <w:lastRenderedPageBreak/>
        <w:t>Основная доля поступлений государственной пошлины</w:t>
      </w:r>
      <w:r w:rsidRPr="00446C77">
        <w:rPr>
          <w:bCs/>
          <w:sz w:val="28"/>
          <w:szCs w:val="28"/>
        </w:rPr>
        <w:br/>
        <w:t>(</w:t>
      </w:r>
      <w:r w:rsidR="00446C77">
        <w:rPr>
          <w:bCs/>
          <w:sz w:val="28"/>
          <w:szCs w:val="28"/>
        </w:rPr>
        <w:t>более</w:t>
      </w:r>
      <w:r w:rsidRPr="00446C77">
        <w:rPr>
          <w:bCs/>
          <w:sz w:val="28"/>
          <w:szCs w:val="28"/>
        </w:rPr>
        <w:t xml:space="preserve"> 9</w:t>
      </w:r>
      <w:r w:rsidR="00446C77" w:rsidRPr="00446C77">
        <w:rPr>
          <w:bCs/>
          <w:sz w:val="28"/>
          <w:szCs w:val="28"/>
        </w:rPr>
        <w:t>9</w:t>
      </w:r>
      <w:r w:rsidRPr="00446C77">
        <w:rPr>
          <w:bCs/>
          <w:sz w:val="28"/>
          <w:szCs w:val="28"/>
        </w:rPr>
        <w:t xml:space="preserve"> процентов) приходится на пошлину </w:t>
      </w:r>
      <w:r w:rsidR="00446C77">
        <w:rPr>
          <w:bCs/>
          <w:sz w:val="28"/>
          <w:szCs w:val="28"/>
        </w:rPr>
        <w:t>по делам</w:t>
      </w:r>
      <w:r w:rsidRPr="00446C77">
        <w:rPr>
          <w:sz w:val="28"/>
        </w:rPr>
        <w:t>, рассматриваемы</w:t>
      </w:r>
      <w:r w:rsidR="00446C77" w:rsidRPr="00446C77">
        <w:rPr>
          <w:sz w:val="28"/>
        </w:rPr>
        <w:t>м</w:t>
      </w:r>
      <w:r w:rsidRPr="00446C77">
        <w:rPr>
          <w:sz w:val="28"/>
        </w:rPr>
        <w:t xml:space="preserve"> в судах общей юрисдикции, мировыми судьями; </w:t>
      </w:r>
      <w:r w:rsidR="00446C77">
        <w:rPr>
          <w:sz w:val="28"/>
        </w:rPr>
        <w:t xml:space="preserve">менее 1 процента </w:t>
      </w:r>
      <w:r w:rsidR="00446C77" w:rsidRPr="00446C77">
        <w:rPr>
          <w:sz w:val="28"/>
        </w:rPr>
        <w:t xml:space="preserve">- за выдачу разрешения на </w:t>
      </w:r>
      <w:r w:rsidR="00446C77">
        <w:rPr>
          <w:sz w:val="28"/>
        </w:rPr>
        <w:t>установку рекламной конструкции.</w:t>
      </w:r>
    </w:p>
    <w:p w:rsidR="00D03320" w:rsidRDefault="00C93C17" w:rsidP="00C93C17">
      <w:pPr>
        <w:ind w:firstLine="709"/>
        <w:jc w:val="both"/>
        <w:rPr>
          <w:sz w:val="28"/>
          <w:szCs w:val="28"/>
        </w:rPr>
      </w:pPr>
      <w:r w:rsidRPr="00ED47D0">
        <w:rPr>
          <w:sz w:val="28"/>
          <w:szCs w:val="28"/>
        </w:rPr>
        <w:t>Государственная пошлина прогнозируется исходя из динамики поступлений, с учетом прогнозов, представленных администраторами доходов</w:t>
      </w:r>
      <w:r>
        <w:rPr>
          <w:sz w:val="28"/>
          <w:szCs w:val="28"/>
        </w:rPr>
        <w:t xml:space="preserve"> бюджета</w:t>
      </w:r>
      <w:r w:rsidR="00446C77">
        <w:rPr>
          <w:sz w:val="28"/>
          <w:szCs w:val="28"/>
        </w:rPr>
        <w:t xml:space="preserve"> городского округа</w:t>
      </w:r>
      <w:r w:rsidRPr="00ED47D0">
        <w:rPr>
          <w:sz w:val="28"/>
          <w:szCs w:val="28"/>
        </w:rPr>
        <w:t xml:space="preserve">. </w:t>
      </w:r>
    </w:p>
    <w:p w:rsidR="004E0DBB" w:rsidRDefault="00D03320" w:rsidP="004E0DBB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0DBB" w:rsidRPr="00C07829" w:rsidRDefault="004E0DBB" w:rsidP="004E0DBB">
      <w:pPr>
        <w:spacing w:line="252" w:lineRule="auto"/>
        <w:jc w:val="center"/>
        <w:rPr>
          <w:b/>
          <w:sz w:val="28"/>
          <w:szCs w:val="28"/>
        </w:rPr>
      </w:pPr>
      <w:r w:rsidRPr="00C07829">
        <w:rPr>
          <w:b/>
          <w:sz w:val="28"/>
          <w:szCs w:val="28"/>
        </w:rPr>
        <w:t>Акцизы по подакцизным товарам (продукции),</w:t>
      </w:r>
    </w:p>
    <w:p w:rsidR="004E0DBB" w:rsidRPr="00C07829" w:rsidRDefault="004E0DBB" w:rsidP="004E0DBB">
      <w:pPr>
        <w:spacing w:line="252" w:lineRule="auto"/>
        <w:jc w:val="center"/>
        <w:rPr>
          <w:b/>
          <w:sz w:val="28"/>
          <w:szCs w:val="28"/>
        </w:rPr>
      </w:pPr>
      <w:r w:rsidRPr="00C07829">
        <w:rPr>
          <w:b/>
          <w:sz w:val="28"/>
          <w:szCs w:val="28"/>
        </w:rPr>
        <w:t>производимым на территории Российской Федерации</w:t>
      </w:r>
    </w:p>
    <w:p w:rsidR="004E0DBB" w:rsidRPr="00C07829" w:rsidRDefault="004E0DBB" w:rsidP="004E0DBB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4E0DBB" w:rsidRPr="00121BB6" w:rsidRDefault="004E0DBB" w:rsidP="00121BB6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 w:rsidRPr="00C07829">
        <w:rPr>
          <w:bCs/>
          <w:sz w:val="28"/>
          <w:szCs w:val="28"/>
        </w:rPr>
        <w:t>Прогноз поступлений акцизов представлен в следующей таблице.</w:t>
      </w:r>
    </w:p>
    <w:tbl>
      <w:tblPr>
        <w:tblW w:w="4891" w:type="pct"/>
        <w:tblInd w:w="108" w:type="dxa"/>
        <w:tblLook w:val="04A0"/>
      </w:tblPr>
      <w:tblGrid>
        <w:gridCol w:w="4410"/>
        <w:gridCol w:w="1651"/>
        <w:gridCol w:w="1101"/>
        <w:gridCol w:w="1101"/>
        <w:gridCol w:w="1099"/>
      </w:tblGrid>
      <w:tr w:rsidR="004E0DBB" w:rsidRPr="00C07829" w:rsidTr="00AA2183">
        <w:trPr>
          <w:trHeight w:val="287"/>
          <w:tblHeader/>
        </w:trPr>
        <w:tc>
          <w:tcPr>
            <w:tcW w:w="2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DBB" w:rsidRPr="00C07829" w:rsidRDefault="004E0DBB" w:rsidP="00AA2183">
            <w:pPr>
              <w:ind w:firstLine="34"/>
              <w:jc w:val="center"/>
            </w:pPr>
            <w:r w:rsidRPr="00C07829">
              <w:t>Наименование показателя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BB" w:rsidRPr="00C07829" w:rsidRDefault="004E0DBB" w:rsidP="00AA2183">
            <w:pPr>
              <w:jc w:val="center"/>
            </w:pPr>
            <w:r w:rsidRPr="00C07829">
              <w:t>2016 год</w:t>
            </w:r>
          </w:p>
          <w:p w:rsidR="003676F7" w:rsidRPr="00F920E1" w:rsidRDefault="003676F7" w:rsidP="003676F7">
            <w:pPr>
              <w:jc w:val="center"/>
            </w:pPr>
            <w:r w:rsidRPr="00F920E1">
              <w:t xml:space="preserve">Решение </w:t>
            </w:r>
          </w:p>
          <w:p w:rsidR="004E0DBB" w:rsidRPr="00C07829" w:rsidRDefault="003676F7" w:rsidP="003676F7">
            <w:pPr>
              <w:jc w:val="center"/>
            </w:pPr>
            <w:r w:rsidRPr="00F920E1">
              <w:t>№ 3-42/01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0DBB" w:rsidRPr="00C07829" w:rsidRDefault="004E0DBB" w:rsidP="00AA2183">
            <w:pPr>
              <w:ind w:hanging="107"/>
              <w:jc w:val="center"/>
            </w:pPr>
            <w:r w:rsidRPr="00C07829">
              <w:t>Проект</w:t>
            </w:r>
          </w:p>
        </w:tc>
      </w:tr>
      <w:tr w:rsidR="004E0DBB" w:rsidRPr="00C07829" w:rsidTr="00DA65E5">
        <w:trPr>
          <w:trHeight w:hRule="exact" w:val="475"/>
          <w:tblHeader/>
        </w:trPr>
        <w:tc>
          <w:tcPr>
            <w:tcW w:w="2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DBB" w:rsidRPr="00C07829" w:rsidRDefault="004E0DBB" w:rsidP="00AA2183"/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BB" w:rsidRPr="00C07829" w:rsidRDefault="004E0DBB" w:rsidP="00AA2183"/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DBB" w:rsidRPr="00C07829" w:rsidRDefault="004E0DBB" w:rsidP="00AA2183">
            <w:pPr>
              <w:jc w:val="center"/>
            </w:pPr>
            <w:r w:rsidRPr="00C07829">
              <w:t>2017 год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DBB" w:rsidRPr="00C07829" w:rsidRDefault="004E0DBB" w:rsidP="00AA2183">
            <w:pPr>
              <w:jc w:val="center"/>
            </w:pPr>
            <w:r w:rsidRPr="00C07829">
              <w:t>2018 год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DBB" w:rsidRPr="00C07829" w:rsidRDefault="004E0DBB" w:rsidP="00AA2183">
            <w:pPr>
              <w:jc w:val="center"/>
            </w:pPr>
            <w:r w:rsidRPr="00C07829">
              <w:t>2019 год</w:t>
            </w:r>
          </w:p>
        </w:tc>
      </w:tr>
      <w:tr w:rsidR="004E0DBB" w:rsidRPr="00C07829" w:rsidTr="00AA2183">
        <w:trPr>
          <w:trHeight w:val="7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BB" w:rsidRPr="00305119" w:rsidRDefault="004E0DBB" w:rsidP="00AA2183">
            <w:pPr>
              <w:ind w:firstLine="709"/>
              <w:jc w:val="center"/>
            </w:pPr>
            <w:r w:rsidRPr="00305119">
              <w:t>Акцизы по подакцизным товарам (продукции),</w:t>
            </w:r>
          </w:p>
          <w:p w:rsidR="004E0DBB" w:rsidRPr="00C07829" w:rsidRDefault="004E0DBB" w:rsidP="00AA2183">
            <w:pPr>
              <w:ind w:firstLine="709"/>
              <w:jc w:val="center"/>
            </w:pPr>
            <w:r w:rsidRPr="00305119">
              <w:t>производимым на территории Российской Федерации</w:t>
            </w:r>
          </w:p>
        </w:tc>
      </w:tr>
      <w:tr w:rsidR="004E0DBB" w:rsidRPr="00C07829" w:rsidTr="00AA2183">
        <w:trPr>
          <w:trHeight w:hRule="exact" w:val="321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BB" w:rsidRPr="00C07829" w:rsidRDefault="004E0DBB" w:rsidP="00AA2183">
            <w:pPr>
              <w:ind w:left="34"/>
            </w:pPr>
            <w:r w:rsidRPr="00C07829">
              <w:t>Объем доходов, млн. рублей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C07829" w:rsidRDefault="00121BB6" w:rsidP="00AA2183">
            <w:pPr>
              <w:jc w:val="center"/>
            </w:pPr>
            <w:r>
              <w:t>7,9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C07829" w:rsidRDefault="00121BB6" w:rsidP="00AA2183">
            <w:pPr>
              <w:jc w:val="center"/>
            </w:pPr>
            <w:r>
              <w:t>7,4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C07829" w:rsidRDefault="00121BB6" w:rsidP="00AA2183">
            <w:pPr>
              <w:jc w:val="center"/>
            </w:pPr>
            <w:r>
              <w:t>7,7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C07829" w:rsidRDefault="00121BB6" w:rsidP="00AA2183">
            <w:pPr>
              <w:jc w:val="center"/>
            </w:pPr>
            <w:r>
              <w:t>8,0</w:t>
            </w:r>
          </w:p>
        </w:tc>
      </w:tr>
      <w:tr w:rsidR="004E0DBB" w:rsidRPr="00C07829" w:rsidTr="00AA2183">
        <w:trPr>
          <w:trHeight w:val="558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BB" w:rsidRPr="00C07829" w:rsidRDefault="004E0DBB" w:rsidP="00AA2183">
            <w:pPr>
              <w:ind w:left="34"/>
            </w:pPr>
            <w:r w:rsidRPr="00C07829">
              <w:t xml:space="preserve">Доля в общем объеме налоговых </w:t>
            </w:r>
            <w:r w:rsidRPr="00C07829">
              <w:br/>
              <w:t>и неналоговых доходов бюджета, %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C07829" w:rsidRDefault="00121BB6" w:rsidP="00AA2183">
            <w:pPr>
              <w:jc w:val="center"/>
            </w:pPr>
            <w:r>
              <w:t>0,9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C07829" w:rsidRDefault="00121BB6" w:rsidP="00AA2183">
            <w:pPr>
              <w:jc w:val="center"/>
            </w:pPr>
            <w:r>
              <w:t>0,8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C07829" w:rsidRDefault="00121BB6" w:rsidP="00AA2183">
            <w:pPr>
              <w:jc w:val="center"/>
            </w:pPr>
            <w:r>
              <w:t>0,8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C07829" w:rsidRDefault="00121BB6" w:rsidP="00AA2183">
            <w:pPr>
              <w:jc w:val="center"/>
            </w:pPr>
            <w:r>
              <w:t>0,8</w:t>
            </w:r>
          </w:p>
        </w:tc>
      </w:tr>
      <w:tr w:rsidR="004E0DBB" w:rsidRPr="00C07829" w:rsidTr="00AA2183">
        <w:trPr>
          <w:trHeight w:val="558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BB" w:rsidRPr="00C07829" w:rsidRDefault="004E0DBB" w:rsidP="00AA2183">
            <w:pPr>
              <w:ind w:left="34"/>
            </w:pPr>
            <w:r w:rsidRPr="00C07829">
              <w:t xml:space="preserve">Прирост (снижение) </w:t>
            </w:r>
          </w:p>
          <w:p w:rsidR="004E0DBB" w:rsidRPr="00C07829" w:rsidRDefault="004E0DBB" w:rsidP="00AA2183">
            <w:pPr>
              <w:ind w:left="34"/>
            </w:pPr>
            <w:r w:rsidRPr="00C07829">
              <w:t>к предыдущему году, млн. рублей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C07829" w:rsidRDefault="004E0DBB" w:rsidP="00AA2183">
            <w:pPr>
              <w:jc w:val="center"/>
            </w:pPr>
            <w:r w:rsidRPr="00C07829">
              <w:t>х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C07829" w:rsidRDefault="004E0DBB" w:rsidP="00121BB6">
            <w:pPr>
              <w:jc w:val="center"/>
              <w:rPr>
                <w:lang w:val="en-US"/>
              </w:rPr>
            </w:pPr>
            <w:r w:rsidRPr="00C07829">
              <w:t>-</w:t>
            </w:r>
            <w:r w:rsidR="00121BB6">
              <w:t>0,5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121BB6" w:rsidRDefault="00121BB6" w:rsidP="00AA2183">
            <w:pPr>
              <w:jc w:val="center"/>
            </w:pPr>
            <w: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DBB" w:rsidRPr="00121BB6" w:rsidRDefault="00121BB6" w:rsidP="00AA2183">
            <w:pPr>
              <w:jc w:val="center"/>
            </w:pPr>
            <w:r>
              <w:t>0,3</w:t>
            </w:r>
          </w:p>
        </w:tc>
      </w:tr>
    </w:tbl>
    <w:p w:rsidR="004E0DBB" w:rsidRPr="00C07829" w:rsidRDefault="004E0DBB" w:rsidP="004E0DBB">
      <w:pPr>
        <w:ind w:firstLine="709"/>
        <w:jc w:val="both"/>
        <w:rPr>
          <w:sz w:val="28"/>
          <w:szCs w:val="28"/>
        </w:rPr>
      </w:pPr>
      <w:r w:rsidRPr="00C07829">
        <w:rPr>
          <w:sz w:val="28"/>
          <w:szCs w:val="28"/>
        </w:rPr>
        <w:t>Прогноз поступлений акцизов на 2017 год определен со снижением</w:t>
      </w:r>
      <w:r w:rsidRPr="00C07829">
        <w:rPr>
          <w:sz w:val="28"/>
          <w:szCs w:val="28"/>
        </w:rPr>
        <w:br/>
        <w:t xml:space="preserve">к утвержденному бюджету на 2016 год </w:t>
      </w:r>
      <w:r w:rsidR="00566C5E" w:rsidRPr="00C07829">
        <w:rPr>
          <w:sz w:val="28"/>
          <w:szCs w:val="28"/>
        </w:rPr>
        <w:t xml:space="preserve">на </w:t>
      </w:r>
      <w:r w:rsidR="00566C5E">
        <w:rPr>
          <w:sz w:val="28"/>
          <w:szCs w:val="28"/>
        </w:rPr>
        <w:t>5,6</w:t>
      </w:r>
      <w:r w:rsidR="00566C5E" w:rsidRPr="00C07829">
        <w:rPr>
          <w:sz w:val="28"/>
          <w:szCs w:val="28"/>
        </w:rPr>
        <w:t xml:space="preserve"> процентов</w:t>
      </w:r>
      <w:r w:rsidR="00566C5E">
        <w:rPr>
          <w:sz w:val="28"/>
          <w:szCs w:val="28"/>
        </w:rPr>
        <w:t xml:space="preserve">, </w:t>
      </w:r>
      <w:r w:rsidR="00566C5E" w:rsidRPr="00C07829">
        <w:rPr>
          <w:sz w:val="28"/>
          <w:szCs w:val="28"/>
        </w:rPr>
        <w:t>с уч</w:t>
      </w:r>
      <w:r w:rsidR="00566C5E">
        <w:rPr>
          <w:sz w:val="28"/>
          <w:szCs w:val="28"/>
        </w:rPr>
        <w:t xml:space="preserve">етом предусмотренного Налоговым </w:t>
      </w:r>
      <w:r w:rsidR="00566C5E" w:rsidRPr="00C07829">
        <w:rPr>
          <w:sz w:val="28"/>
          <w:szCs w:val="28"/>
        </w:rPr>
        <w:t>кодексом Российской Федерации</w:t>
      </w:r>
      <w:r w:rsidR="00566C5E">
        <w:rPr>
          <w:sz w:val="28"/>
          <w:szCs w:val="28"/>
        </w:rPr>
        <w:t xml:space="preserve"> </w:t>
      </w:r>
      <w:r w:rsidR="00566C5E" w:rsidRPr="00C07829">
        <w:rPr>
          <w:sz w:val="28"/>
          <w:szCs w:val="28"/>
        </w:rPr>
        <w:t>на 2017 год снижения ставок акцизов на нефтепродукты. Ставки акцизов снижаются</w:t>
      </w:r>
      <w:r w:rsidR="00566C5E">
        <w:rPr>
          <w:sz w:val="28"/>
          <w:szCs w:val="28"/>
        </w:rPr>
        <w:t xml:space="preserve"> на автомобильный бензин </w:t>
      </w:r>
      <w:r w:rsidR="00566C5E" w:rsidRPr="00C07829">
        <w:rPr>
          <w:sz w:val="28"/>
          <w:szCs w:val="28"/>
        </w:rPr>
        <w:t>(5 класса) на 26,7 процента, дизельное топливо –</w:t>
      </w:r>
      <w:r w:rsidR="00566C5E">
        <w:rPr>
          <w:sz w:val="28"/>
          <w:szCs w:val="28"/>
        </w:rPr>
        <w:t xml:space="preserve"> </w:t>
      </w:r>
      <w:r w:rsidR="00566C5E" w:rsidRPr="00C07829">
        <w:rPr>
          <w:sz w:val="28"/>
          <w:szCs w:val="28"/>
        </w:rPr>
        <w:t>на 3,8 процента, прямогонный бензин – на 6,1 процента, моторные масла</w:t>
      </w:r>
      <w:r w:rsidR="00566C5E">
        <w:rPr>
          <w:sz w:val="28"/>
          <w:szCs w:val="28"/>
        </w:rPr>
        <w:t xml:space="preserve"> </w:t>
      </w:r>
      <w:r w:rsidR="00566C5E" w:rsidRPr="00C07829">
        <w:rPr>
          <w:sz w:val="28"/>
          <w:szCs w:val="28"/>
        </w:rPr>
        <w:t>для дизельных и карбюраторны</w:t>
      </w:r>
      <w:r w:rsidR="00566C5E">
        <w:rPr>
          <w:sz w:val="28"/>
          <w:szCs w:val="28"/>
        </w:rPr>
        <w:t>х двигателей – на 10 процентов.</w:t>
      </w:r>
    </w:p>
    <w:p w:rsidR="00E83952" w:rsidRPr="00E83952" w:rsidRDefault="004E0DBB" w:rsidP="00E83952">
      <w:pPr>
        <w:ind w:firstLine="709"/>
        <w:jc w:val="both"/>
        <w:rPr>
          <w:bCs/>
          <w:sz w:val="28"/>
          <w:szCs w:val="28"/>
        </w:rPr>
      </w:pPr>
      <w:r w:rsidRPr="00C07829">
        <w:rPr>
          <w:bCs/>
          <w:sz w:val="28"/>
          <w:szCs w:val="28"/>
        </w:rPr>
        <w:t>Поступления акцизов на 2018 год прогнозируются с ростом</w:t>
      </w:r>
      <w:r w:rsidRPr="00C07829">
        <w:rPr>
          <w:bCs/>
          <w:sz w:val="28"/>
          <w:szCs w:val="28"/>
        </w:rPr>
        <w:br/>
        <w:t xml:space="preserve">на </w:t>
      </w:r>
      <w:r w:rsidR="00E83952">
        <w:rPr>
          <w:bCs/>
          <w:sz w:val="28"/>
          <w:szCs w:val="28"/>
        </w:rPr>
        <w:t>4,2</w:t>
      </w:r>
      <w:r w:rsidRPr="00C07829">
        <w:rPr>
          <w:bCs/>
          <w:sz w:val="28"/>
          <w:szCs w:val="28"/>
        </w:rPr>
        <w:t xml:space="preserve"> процента к уровню 2017 года, на 2019 год – с ростом на </w:t>
      </w:r>
      <w:r w:rsidR="00E83952">
        <w:rPr>
          <w:bCs/>
          <w:sz w:val="28"/>
          <w:szCs w:val="28"/>
        </w:rPr>
        <w:t>3,9 процента</w:t>
      </w:r>
      <w:r w:rsidR="00E83952">
        <w:rPr>
          <w:bCs/>
          <w:sz w:val="28"/>
          <w:szCs w:val="28"/>
        </w:rPr>
        <w:br/>
        <w:t>к уровню 2018 года.</w:t>
      </w:r>
    </w:p>
    <w:p w:rsidR="000C6CAE" w:rsidRDefault="004E0DBB" w:rsidP="001B0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829">
        <w:rPr>
          <w:sz w:val="28"/>
          <w:szCs w:val="28"/>
        </w:rPr>
        <w:t xml:space="preserve">Доходы от уплаты акцизов </w:t>
      </w:r>
      <w:r w:rsidR="00E83952">
        <w:rPr>
          <w:sz w:val="28"/>
          <w:szCs w:val="28"/>
        </w:rPr>
        <w:t>(</w:t>
      </w:r>
      <w:r w:rsidR="000C6CAE">
        <w:rPr>
          <w:sz w:val="28"/>
          <w:szCs w:val="28"/>
        </w:rPr>
        <w:t xml:space="preserve">на 2017 год: </w:t>
      </w:r>
      <w:r w:rsidR="00E83952" w:rsidRPr="00C07829">
        <w:rPr>
          <w:sz w:val="28"/>
          <w:szCs w:val="28"/>
        </w:rPr>
        <w:t>на</w:t>
      </w:r>
      <w:r w:rsidR="00E83952" w:rsidRPr="00E83952">
        <w:rPr>
          <w:sz w:val="28"/>
          <w:szCs w:val="28"/>
        </w:rPr>
        <w:t xml:space="preserve"> </w:t>
      </w:r>
      <w:r w:rsidR="00E83952" w:rsidRPr="00C07829">
        <w:rPr>
          <w:sz w:val="28"/>
          <w:szCs w:val="28"/>
        </w:rPr>
        <w:t>дизельное топливо</w:t>
      </w:r>
      <w:r w:rsidR="001B0498">
        <w:rPr>
          <w:sz w:val="28"/>
          <w:szCs w:val="28"/>
        </w:rPr>
        <w:t>- 3,3 млн. рублей</w:t>
      </w:r>
      <w:r w:rsidR="00E83952">
        <w:rPr>
          <w:sz w:val="28"/>
          <w:szCs w:val="28"/>
        </w:rPr>
        <w:t>,</w:t>
      </w:r>
      <w:r w:rsidR="00E83952" w:rsidRPr="00C07829">
        <w:rPr>
          <w:sz w:val="28"/>
          <w:szCs w:val="28"/>
        </w:rPr>
        <w:t xml:space="preserve"> </w:t>
      </w:r>
      <w:r w:rsidR="001B0498">
        <w:rPr>
          <w:sz w:val="28"/>
          <w:szCs w:val="28"/>
        </w:rPr>
        <w:t xml:space="preserve">на </w:t>
      </w:r>
      <w:r w:rsidR="001B0498" w:rsidRPr="00C07829">
        <w:rPr>
          <w:sz w:val="28"/>
          <w:szCs w:val="28"/>
        </w:rPr>
        <w:t>моторные масла</w:t>
      </w:r>
      <w:r w:rsidR="001B0498">
        <w:rPr>
          <w:sz w:val="28"/>
          <w:szCs w:val="28"/>
        </w:rPr>
        <w:t xml:space="preserve"> </w:t>
      </w:r>
      <w:r w:rsidR="001B0498" w:rsidRPr="00C07829">
        <w:rPr>
          <w:sz w:val="28"/>
          <w:szCs w:val="28"/>
        </w:rPr>
        <w:t>для дизельных и карбюраторных двигателей</w:t>
      </w:r>
      <w:r w:rsidR="001B0498">
        <w:rPr>
          <w:sz w:val="28"/>
          <w:szCs w:val="28"/>
        </w:rPr>
        <w:t xml:space="preserve"> – 0,03 млн. рублей,</w:t>
      </w:r>
      <w:r w:rsidR="001B0498" w:rsidRPr="00C07829">
        <w:rPr>
          <w:sz w:val="28"/>
          <w:szCs w:val="28"/>
        </w:rPr>
        <w:t xml:space="preserve"> </w:t>
      </w:r>
      <w:r w:rsidR="001B0498">
        <w:rPr>
          <w:sz w:val="28"/>
          <w:szCs w:val="28"/>
        </w:rPr>
        <w:t xml:space="preserve">на </w:t>
      </w:r>
      <w:r w:rsidR="00E83952" w:rsidRPr="00C07829">
        <w:rPr>
          <w:sz w:val="28"/>
          <w:szCs w:val="28"/>
        </w:rPr>
        <w:t>автомобильный бензин</w:t>
      </w:r>
      <w:r w:rsidR="001B0498">
        <w:rPr>
          <w:sz w:val="28"/>
          <w:szCs w:val="28"/>
        </w:rPr>
        <w:t xml:space="preserve"> – 4,1 млн. рублей)</w:t>
      </w:r>
      <w:r w:rsidR="00E83952">
        <w:rPr>
          <w:sz w:val="28"/>
          <w:szCs w:val="28"/>
        </w:rPr>
        <w:t xml:space="preserve"> </w:t>
      </w:r>
      <w:r w:rsidR="000C6CAE">
        <w:rPr>
          <w:sz w:val="28"/>
          <w:szCs w:val="28"/>
        </w:rPr>
        <w:t>спрогнозированы на основании данных Министерства финансов Республики Башкортостан.</w:t>
      </w:r>
    </w:p>
    <w:p w:rsidR="00C93C17" w:rsidRPr="00C80F1F" w:rsidRDefault="000C6CAE" w:rsidP="00C80F1F">
      <w:pPr>
        <w:pStyle w:val="11"/>
        <w:shd w:val="clear" w:color="auto" w:fill="auto"/>
        <w:spacing w:before="0" w:after="0" w:line="310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0C6CAE">
        <w:rPr>
          <w:rFonts w:ascii="Times New Roman" w:hAnsi="Times New Roman" w:cs="Times New Roman"/>
        </w:rPr>
        <w:t xml:space="preserve">Согласно Закону Республики Башкортостан от 15 июля 2005 года № 203-з «О межбюджетных отношениях в Республике Башкортостан» нормативы отчислений от акцизов на нефтепродукты в бюджеты муниципальных районов и городских округов на 2017 год и плановый период 2018-2019 годов определены </w:t>
      </w:r>
      <w:r w:rsidRPr="00125D5F">
        <w:rPr>
          <w:rFonts w:ascii="Times New Roman" w:hAnsi="Times New Roman" w:cs="Times New Roman"/>
          <w:u w:val="single"/>
        </w:rPr>
        <w:t>на основе удельного веса</w:t>
      </w:r>
      <w:r w:rsidRPr="000C6CAE">
        <w:rPr>
          <w:rFonts w:ascii="Times New Roman" w:hAnsi="Times New Roman" w:cs="Times New Roman"/>
        </w:rPr>
        <w:t xml:space="preserve"> протяженности </w:t>
      </w:r>
      <w:r w:rsidRPr="00125D5F">
        <w:rPr>
          <w:rFonts w:ascii="Times New Roman" w:hAnsi="Times New Roman" w:cs="Times New Roman"/>
          <w:u w:val="single"/>
        </w:rPr>
        <w:t>автомобильных дорог</w:t>
      </w:r>
      <w:r w:rsidRPr="000C6CAE">
        <w:rPr>
          <w:rFonts w:ascii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>(</w:t>
      </w:r>
      <w:r w:rsidRPr="000C6CAE">
        <w:rPr>
          <w:rFonts w:ascii="Times New Roman" w:hAnsi="Times New Roman" w:cs="Times New Roman"/>
        </w:rPr>
        <w:t xml:space="preserve">на основании данных статистической отчетности по форме </w:t>
      </w:r>
      <w:r>
        <w:rPr>
          <w:rFonts w:ascii="Times New Roman" w:hAnsi="Times New Roman" w:cs="Times New Roman"/>
        </w:rPr>
        <w:t xml:space="preserve">          </w:t>
      </w:r>
      <w:r w:rsidRPr="000C6CAE">
        <w:rPr>
          <w:rFonts w:ascii="Times New Roman" w:hAnsi="Times New Roman" w:cs="Times New Roman"/>
        </w:rPr>
        <w:t>№ 3-ДГ(мо)</w:t>
      </w:r>
      <w:r w:rsidR="00C80F1F">
        <w:rPr>
          <w:rFonts w:ascii="Times New Roman" w:hAnsi="Times New Roman" w:cs="Times New Roman"/>
        </w:rPr>
        <w:t xml:space="preserve">, которые представляются в Государственный комитет </w:t>
      </w:r>
      <w:r w:rsidR="00C80F1F">
        <w:rPr>
          <w:rFonts w:ascii="Times New Roman" w:hAnsi="Times New Roman" w:cs="Times New Roman"/>
        </w:rPr>
        <w:lastRenderedPageBreak/>
        <w:t>Республики Башкортостан по транспорту и дорожному хозяйству)</w:t>
      </w:r>
      <w:r w:rsidRPr="000C6CAE">
        <w:rPr>
          <w:rFonts w:ascii="Times New Roman" w:hAnsi="Times New Roman" w:cs="Times New Roman"/>
        </w:rPr>
        <w:t xml:space="preserve">, органы местного </w:t>
      </w:r>
      <w:r w:rsidR="00566C5E">
        <w:rPr>
          <w:rFonts w:ascii="Times New Roman" w:hAnsi="Times New Roman" w:cs="Times New Roman"/>
        </w:rPr>
        <w:t>самоуправления</w:t>
      </w:r>
      <w:r w:rsidRPr="000C6CAE">
        <w:rPr>
          <w:rFonts w:ascii="Times New Roman" w:hAnsi="Times New Roman" w:cs="Times New Roman"/>
        </w:rPr>
        <w:t xml:space="preserve"> которых решают вопросы местного значения в сфере дорожной деятельности, </w:t>
      </w:r>
      <w:r w:rsidRPr="00125D5F">
        <w:rPr>
          <w:rFonts w:ascii="Times New Roman" w:hAnsi="Times New Roman" w:cs="Times New Roman"/>
          <w:u w:val="single"/>
        </w:rPr>
        <w:t>в общей протяженности</w:t>
      </w:r>
      <w:r w:rsidRPr="000C6CAE">
        <w:rPr>
          <w:rFonts w:ascii="Times New Roman" w:hAnsi="Times New Roman" w:cs="Times New Roman"/>
        </w:rPr>
        <w:t xml:space="preserve"> дорог в республике по с</w:t>
      </w:r>
      <w:r>
        <w:rPr>
          <w:rFonts w:ascii="Times New Roman" w:hAnsi="Times New Roman" w:cs="Times New Roman"/>
        </w:rPr>
        <w:t>остоянию на 1 января 2016 года.</w:t>
      </w:r>
    </w:p>
    <w:p w:rsidR="00204DFC" w:rsidRDefault="00204DFC" w:rsidP="00C93C17">
      <w:pPr>
        <w:jc w:val="center"/>
        <w:rPr>
          <w:b/>
          <w:sz w:val="28"/>
          <w:szCs w:val="28"/>
        </w:rPr>
      </w:pPr>
    </w:p>
    <w:p w:rsidR="00C93C17" w:rsidRPr="003676F7" w:rsidRDefault="00C93C17" w:rsidP="00C93C17">
      <w:pPr>
        <w:jc w:val="center"/>
        <w:rPr>
          <w:b/>
          <w:sz w:val="28"/>
          <w:szCs w:val="28"/>
        </w:rPr>
      </w:pPr>
      <w:r w:rsidRPr="003676F7">
        <w:rPr>
          <w:b/>
          <w:sz w:val="28"/>
          <w:szCs w:val="28"/>
        </w:rPr>
        <w:t>Доходы от использования имущества, находящегося</w:t>
      </w:r>
    </w:p>
    <w:p w:rsidR="00C93C17" w:rsidRPr="003676F7" w:rsidRDefault="00C93C17" w:rsidP="00C93C17">
      <w:pPr>
        <w:jc w:val="center"/>
        <w:rPr>
          <w:b/>
          <w:sz w:val="28"/>
          <w:szCs w:val="28"/>
        </w:rPr>
      </w:pPr>
      <w:r w:rsidRPr="003676F7">
        <w:rPr>
          <w:b/>
          <w:sz w:val="28"/>
          <w:szCs w:val="28"/>
        </w:rPr>
        <w:t xml:space="preserve">в </w:t>
      </w:r>
      <w:r w:rsidR="003676F7" w:rsidRPr="003676F7">
        <w:rPr>
          <w:b/>
          <w:sz w:val="28"/>
          <w:szCs w:val="28"/>
        </w:rPr>
        <w:t>муниципальной</w:t>
      </w:r>
      <w:r w:rsidRPr="003676F7">
        <w:rPr>
          <w:b/>
          <w:sz w:val="28"/>
          <w:szCs w:val="28"/>
        </w:rPr>
        <w:t xml:space="preserve"> собственности</w:t>
      </w:r>
    </w:p>
    <w:p w:rsidR="00C93C17" w:rsidRPr="00125D5F" w:rsidRDefault="00C93C17" w:rsidP="00C93C17">
      <w:pPr>
        <w:ind w:firstLine="709"/>
        <w:jc w:val="center"/>
        <w:rPr>
          <w:color w:val="FF0000"/>
          <w:sz w:val="28"/>
          <w:szCs w:val="28"/>
        </w:rPr>
      </w:pPr>
    </w:p>
    <w:p w:rsidR="00C93C17" w:rsidRPr="003676F7" w:rsidRDefault="00C93C17" w:rsidP="003676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76F7">
        <w:rPr>
          <w:bCs/>
          <w:sz w:val="28"/>
          <w:szCs w:val="28"/>
        </w:rPr>
        <w:t xml:space="preserve">Планируемые поступления </w:t>
      </w:r>
      <w:r w:rsidRPr="003676F7">
        <w:rPr>
          <w:sz w:val="28"/>
          <w:szCs w:val="28"/>
        </w:rPr>
        <w:t xml:space="preserve">доходов от использования имущества, находящегося в </w:t>
      </w:r>
      <w:r w:rsidR="003676F7" w:rsidRPr="003676F7">
        <w:rPr>
          <w:sz w:val="28"/>
          <w:szCs w:val="28"/>
        </w:rPr>
        <w:t>муниципальной</w:t>
      </w:r>
      <w:r w:rsidRPr="003676F7">
        <w:rPr>
          <w:sz w:val="28"/>
          <w:szCs w:val="28"/>
        </w:rPr>
        <w:t xml:space="preserve"> собственности, </w:t>
      </w:r>
      <w:r w:rsidRPr="003676F7">
        <w:rPr>
          <w:bCs/>
          <w:sz w:val="28"/>
          <w:szCs w:val="28"/>
        </w:rPr>
        <w:t>характеризуются следующими данными: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41"/>
        <w:gridCol w:w="1560"/>
        <w:gridCol w:w="1134"/>
        <w:gridCol w:w="1275"/>
        <w:gridCol w:w="1134"/>
      </w:tblGrid>
      <w:tr w:rsidR="00C93C17" w:rsidRPr="00782028" w:rsidTr="00A904AC">
        <w:trPr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028"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028">
              <w:t>2016 год</w:t>
            </w:r>
          </w:p>
          <w:p w:rsidR="003676F7" w:rsidRPr="00F920E1" w:rsidRDefault="003676F7" w:rsidP="003676F7">
            <w:pPr>
              <w:jc w:val="center"/>
            </w:pPr>
            <w:r w:rsidRPr="00F920E1">
              <w:t xml:space="preserve">Решение </w:t>
            </w:r>
          </w:p>
          <w:p w:rsidR="00C93C17" w:rsidRPr="00782028" w:rsidRDefault="003676F7" w:rsidP="003676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0E1">
              <w:t>№ 3-42/01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028">
              <w:t>Проект</w:t>
            </w:r>
          </w:p>
        </w:tc>
      </w:tr>
      <w:tr w:rsidR="00C93C17" w:rsidRPr="00782028" w:rsidTr="00A904AC">
        <w:trPr>
          <w:trHeight w:val="367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782028" w:rsidRDefault="00C93C17" w:rsidP="00A904AC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782028" w:rsidRDefault="00C93C17" w:rsidP="00A904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028"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028"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028">
              <w:t>2019 год</w:t>
            </w:r>
          </w:p>
        </w:tc>
      </w:tr>
      <w:tr w:rsidR="00C93C17" w:rsidRPr="00782028" w:rsidTr="00A904A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54CF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CF2">
              <w:t>Доходы от использования имущества, находящегося</w:t>
            </w:r>
          </w:p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F7">
              <w:t xml:space="preserve">в </w:t>
            </w:r>
            <w:r w:rsidR="003676F7" w:rsidRPr="003676F7">
              <w:t>муниципальной</w:t>
            </w:r>
            <w:r w:rsidRPr="00B54CF2">
              <w:t xml:space="preserve"> собственности</w:t>
            </w:r>
          </w:p>
        </w:tc>
      </w:tr>
      <w:tr w:rsidR="00C93C17" w:rsidRPr="00782028" w:rsidTr="00A904AC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782028">
              <w:t>Объем доходов, 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AA2183" w:rsidP="00AA21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AA2183" w:rsidP="00A904AC">
            <w:pPr>
              <w:jc w:val="center"/>
            </w:pPr>
            <w:r>
              <w:t>266,5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AA2183" w:rsidP="00A904AC">
            <w:pPr>
              <w:jc w:val="center"/>
            </w:pPr>
            <w:r>
              <w:t>274,7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AA2183" w:rsidP="00A904AC">
            <w:pPr>
              <w:jc w:val="center"/>
            </w:pPr>
            <w:r>
              <w:t>284,9</w:t>
            </w:r>
          </w:p>
        </w:tc>
      </w:tr>
      <w:tr w:rsidR="00C93C17" w:rsidRPr="00782028" w:rsidTr="00A904AC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782028">
              <w:t>Доля в общем объеме налоговых</w:t>
            </w:r>
          </w:p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782028">
              <w:t>и неналоговых доходов бюджета,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AA2183" w:rsidP="00A904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24465B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24465B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24465B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29,8</w:t>
            </w:r>
          </w:p>
        </w:tc>
      </w:tr>
      <w:tr w:rsidR="00C93C17" w:rsidRPr="00782028" w:rsidTr="00A904AC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782028">
              <w:t>Прирост (снижение)</w:t>
            </w:r>
            <w:r w:rsidRPr="00782028">
              <w:br/>
              <w:t>к предыдущему году, 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782028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02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007C6D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B931E5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782028" w:rsidRDefault="00B931E5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10,2</w:t>
            </w:r>
          </w:p>
        </w:tc>
      </w:tr>
    </w:tbl>
    <w:p w:rsidR="00C93C17" w:rsidRPr="00CC04AB" w:rsidRDefault="00C93C17" w:rsidP="00C93C1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14BD" w:rsidRDefault="00C93C17" w:rsidP="00C93C1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028">
        <w:rPr>
          <w:sz w:val="28"/>
          <w:szCs w:val="28"/>
        </w:rPr>
        <w:t>Поступления доходов от использования имущества, находящегося</w:t>
      </w:r>
      <w:r w:rsidRPr="00782028">
        <w:rPr>
          <w:sz w:val="28"/>
          <w:szCs w:val="28"/>
        </w:rPr>
        <w:br/>
        <w:t>в государственной собственности, запланированы на 2017 год с ростом</w:t>
      </w:r>
      <w:r w:rsidRPr="00782028">
        <w:rPr>
          <w:sz w:val="28"/>
          <w:szCs w:val="28"/>
        </w:rPr>
        <w:br/>
        <w:t xml:space="preserve">к утвержденному плану 2016 года на </w:t>
      </w:r>
      <w:r w:rsidR="008C14BD">
        <w:rPr>
          <w:sz w:val="28"/>
          <w:szCs w:val="28"/>
        </w:rPr>
        <w:t>18,8</w:t>
      </w:r>
      <w:r w:rsidRPr="00782028">
        <w:rPr>
          <w:sz w:val="28"/>
          <w:szCs w:val="28"/>
        </w:rPr>
        <w:t xml:space="preserve"> процента</w:t>
      </w:r>
      <w:r w:rsidR="00CC7FA8">
        <w:rPr>
          <w:sz w:val="28"/>
          <w:szCs w:val="28"/>
        </w:rPr>
        <w:t>.</w:t>
      </w:r>
      <w:r w:rsidR="00CC7FA8" w:rsidRPr="00782028">
        <w:rPr>
          <w:sz w:val="28"/>
          <w:szCs w:val="28"/>
        </w:rPr>
        <w:t xml:space="preserve"> </w:t>
      </w:r>
      <w:r w:rsidRPr="00782028">
        <w:rPr>
          <w:sz w:val="28"/>
          <w:szCs w:val="28"/>
        </w:rPr>
        <w:t>На 2018</w:t>
      </w:r>
      <w:r w:rsidR="008C14BD">
        <w:rPr>
          <w:sz w:val="28"/>
          <w:szCs w:val="28"/>
        </w:rPr>
        <w:t xml:space="preserve"> и </w:t>
      </w:r>
      <w:r w:rsidR="008C14BD" w:rsidRPr="00782028">
        <w:rPr>
          <w:sz w:val="28"/>
          <w:szCs w:val="28"/>
        </w:rPr>
        <w:t>2019</w:t>
      </w:r>
      <w:r w:rsidR="008C14BD">
        <w:rPr>
          <w:sz w:val="28"/>
          <w:szCs w:val="28"/>
        </w:rPr>
        <w:t xml:space="preserve"> </w:t>
      </w:r>
      <w:r w:rsidRPr="00782028">
        <w:rPr>
          <w:sz w:val="28"/>
          <w:szCs w:val="28"/>
        </w:rPr>
        <w:t>год</w:t>
      </w:r>
      <w:r w:rsidR="008C14BD">
        <w:rPr>
          <w:sz w:val="28"/>
          <w:szCs w:val="28"/>
        </w:rPr>
        <w:t>ы</w:t>
      </w:r>
      <w:r w:rsidRPr="00782028">
        <w:rPr>
          <w:sz w:val="28"/>
          <w:szCs w:val="28"/>
        </w:rPr>
        <w:t xml:space="preserve"> поступления указанных доходов прогнозируются </w:t>
      </w:r>
      <w:r w:rsidR="008C14BD">
        <w:rPr>
          <w:sz w:val="28"/>
          <w:szCs w:val="28"/>
        </w:rPr>
        <w:t>с небольшим приростом к</w:t>
      </w:r>
      <w:r w:rsidRPr="00782028">
        <w:rPr>
          <w:sz w:val="28"/>
          <w:szCs w:val="28"/>
        </w:rPr>
        <w:t xml:space="preserve"> </w:t>
      </w:r>
      <w:r w:rsidR="008C14BD">
        <w:rPr>
          <w:sz w:val="28"/>
          <w:szCs w:val="28"/>
        </w:rPr>
        <w:t>предыдущему</w:t>
      </w:r>
      <w:r w:rsidRPr="00782028">
        <w:rPr>
          <w:sz w:val="28"/>
          <w:szCs w:val="28"/>
        </w:rPr>
        <w:t xml:space="preserve"> год</w:t>
      </w:r>
      <w:r w:rsidR="008C14BD">
        <w:rPr>
          <w:sz w:val="28"/>
          <w:szCs w:val="28"/>
        </w:rPr>
        <w:t>у.</w:t>
      </w:r>
    </w:p>
    <w:p w:rsidR="002E0CFA" w:rsidRDefault="00C93C17" w:rsidP="00C93C1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028">
        <w:rPr>
          <w:sz w:val="28"/>
          <w:szCs w:val="28"/>
        </w:rPr>
        <w:t>Поступления доходов от использования имущества, находящегося</w:t>
      </w:r>
      <w:r w:rsidRPr="00782028">
        <w:rPr>
          <w:sz w:val="28"/>
          <w:szCs w:val="28"/>
        </w:rPr>
        <w:br/>
        <w:t xml:space="preserve">в </w:t>
      </w:r>
      <w:r w:rsidR="0016092C" w:rsidRPr="003676F7">
        <w:rPr>
          <w:sz w:val="28"/>
          <w:szCs w:val="28"/>
        </w:rPr>
        <w:t>муниципальной</w:t>
      </w:r>
      <w:r w:rsidRPr="00782028">
        <w:rPr>
          <w:sz w:val="28"/>
          <w:szCs w:val="28"/>
        </w:rPr>
        <w:t xml:space="preserve"> собственности, в 2017–2019 годах сформированы</w:t>
      </w:r>
      <w:r w:rsidR="002E0CFA">
        <w:rPr>
          <w:sz w:val="28"/>
          <w:szCs w:val="28"/>
        </w:rPr>
        <w:t>:</w:t>
      </w:r>
      <w:r w:rsidRPr="00782028">
        <w:rPr>
          <w:sz w:val="28"/>
          <w:szCs w:val="28"/>
        </w:rPr>
        <w:t xml:space="preserve"> </w:t>
      </w:r>
    </w:p>
    <w:p w:rsidR="002E0CFA" w:rsidRDefault="002E0CFA" w:rsidP="002E0CF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93C17" w:rsidRPr="00782028">
        <w:rPr>
          <w:sz w:val="28"/>
          <w:szCs w:val="28"/>
        </w:rPr>
        <w:t>за счет доходов</w:t>
      </w:r>
      <w:r w:rsidR="000672F1">
        <w:rPr>
          <w:sz w:val="28"/>
          <w:szCs w:val="28"/>
        </w:rPr>
        <w:t>, получаемых в виде</w:t>
      </w:r>
      <w:r w:rsidR="00C93C17" w:rsidRPr="00782028">
        <w:rPr>
          <w:sz w:val="28"/>
          <w:szCs w:val="28"/>
        </w:rPr>
        <w:t xml:space="preserve"> </w:t>
      </w:r>
      <w:r w:rsidR="0016092C" w:rsidRPr="00946B71">
        <w:rPr>
          <w:sz w:val="28"/>
        </w:rPr>
        <w:t xml:space="preserve">арендной платы за земельные участки, государственная собственность на которые не разграничена, </w:t>
      </w:r>
      <w:r w:rsidR="000672F1">
        <w:rPr>
          <w:sz w:val="28"/>
        </w:rPr>
        <w:t xml:space="preserve">и которые расположены в границах городского округа, </w:t>
      </w:r>
      <w:r w:rsidR="0016092C" w:rsidRPr="00946B71">
        <w:rPr>
          <w:sz w:val="28"/>
        </w:rPr>
        <w:t>а также средства от продажи права на заключение договоров арен</w:t>
      </w:r>
      <w:r>
        <w:rPr>
          <w:sz w:val="28"/>
        </w:rPr>
        <w:t>ды указанных земельных участков. На 2017 год</w:t>
      </w:r>
      <w:r w:rsidRPr="002E0CFA">
        <w:rPr>
          <w:sz w:val="28"/>
          <w:szCs w:val="28"/>
        </w:rPr>
        <w:t xml:space="preserve"> </w:t>
      </w:r>
      <w:r w:rsidRPr="00782028">
        <w:rPr>
          <w:sz w:val="28"/>
          <w:szCs w:val="28"/>
        </w:rPr>
        <w:t>указанные доходы прогнозируются в сумме</w:t>
      </w:r>
      <w:r>
        <w:rPr>
          <w:sz w:val="28"/>
        </w:rPr>
        <w:t xml:space="preserve"> </w:t>
      </w:r>
      <w:r w:rsidR="000672F1">
        <w:rPr>
          <w:sz w:val="28"/>
        </w:rPr>
        <w:t>240 млн. рублей</w:t>
      </w:r>
      <w:r w:rsidR="006669F0">
        <w:rPr>
          <w:sz w:val="28"/>
        </w:rPr>
        <w:t xml:space="preserve">, </w:t>
      </w:r>
      <w:r w:rsidR="006669F0">
        <w:rPr>
          <w:sz w:val="28"/>
          <w:szCs w:val="28"/>
        </w:rPr>
        <w:t xml:space="preserve">с ростом </w:t>
      </w:r>
      <w:r w:rsidR="006669F0" w:rsidRPr="00782028">
        <w:rPr>
          <w:sz w:val="28"/>
          <w:szCs w:val="28"/>
        </w:rPr>
        <w:t xml:space="preserve">к утвержденному плану 2016 года на </w:t>
      </w:r>
      <w:r w:rsidR="006669F0">
        <w:rPr>
          <w:sz w:val="28"/>
          <w:szCs w:val="28"/>
        </w:rPr>
        <w:t>20</w:t>
      </w:r>
      <w:r w:rsidR="006669F0" w:rsidRPr="00782028">
        <w:rPr>
          <w:sz w:val="28"/>
          <w:szCs w:val="28"/>
        </w:rPr>
        <w:t xml:space="preserve"> проце</w:t>
      </w:r>
      <w:r w:rsidR="006669F0">
        <w:rPr>
          <w:sz w:val="28"/>
          <w:szCs w:val="28"/>
        </w:rPr>
        <w:t>нтов</w:t>
      </w:r>
      <w:r>
        <w:rPr>
          <w:sz w:val="28"/>
        </w:rPr>
        <w:t xml:space="preserve"> </w:t>
      </w:r>
      <w:r w:rsidR="00CC7FA8">
        <w:rPr>
          <w:sz w:val="28"/>
        </w:rPr>
        <w:t>(</w:t>
      </w:r>
      <w:r w:rsidR="00CC7FA8">
        <w:rPr>
          <w:sz w:val="28"/>
          <w:szCs w:val="28"/>
        </w:rPr>
        <w:t>увеличение</w:t>
      </w:r>
      <w:r w:rsidR="00CC7FA8" w:rsidRPr="00CC7FA8">
        <w:rPr>
          <w:sz w:val="28"/>
          <w:szCs w:val="28"/>
        </w:rPr>
        <w:t xml:space="preserve"> </w:t>
      </w:r>
      <w:r w:rsidR="00CC7FA8">
        <w:rPr>
          <w:sz w:val="28"/>
          <w:szCs w:val="28"/>
        </w:rPr>
        <w:t>поступлений обусловлено усилением принимаемых мер по взысканию задолженности предыдущих лет), н</w:t>
      </w:r>
      <w:r w:rsidRPr="00782028">
        <w:rPr>
          <w:sz w:val="28"/>
          <w:szCs w:val="28"/>
        </w:rPr>
        <w:t xml:space="preserve">а 2018 год </w:t>
      </w:r>
      <w:r>
        <w:rPr>
          <w:sz w:val="28"/>
          <w:szCs w:val="28"/>
        </w:rPr>
        <w:t>-</w:t>
      </w:r>
      <w:r w:rsidRPr="0078202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250</w:t>
      </w:r>
      <w:r w:rsidRPr="00782028">
        <w:rPr>
          <w:sz w:val="28"/>
          <w:szCs w:val="28"/>
        </w:rPr>
        <w:t xml:space="preserve"> млн. рублей, с ростом к 2017 году на </w:t>
      </w:r>
      <w:r>
        <w:rPr>
          <w:sz w:val="28"/>
          <w:szCs w:val="28"/>
        </w:rPr>
        <w:t>4,2</w:t>
      </w:r>
      <w:r w:rsidRPr="00782028">
        <w:rPr>
          <w:sz w:val="28"/>
          <w:szCs w:val="28"/>
        </w:rPr>
        <w:t xml:space="preserve"> процента, на 2019 год – </w:t>
      </w:r>
      <w:r>
        <w:rPr>
          <w:sz w:val="28"/>
          <w:szCs w:val="28"/>
        </w:rPr>
        <w:t>260</w:t>
      </w:r>
      <w:r w:rsidRPr="00782028">
        <w:rPr>
          <w:sz w:val="28"/>
          <w:szCs w:val="28"/>
        </w:rPr>
        <w:t xml:space="preserve"> млн. рублей, с ростом к 2018 году </w:t>
      </w:r>
      <w:r>
        <w:rPr>
          <w:sz w:val="28"/>
          <w:szCs w:val="28"/>
        </w:rPr>
        <w:t xml:space="preserve">4 процента; </w:t>
      </w:r>
    </w:p>
    <w:p w:rsidR="002C7E6F" w:rsidRDefault="002E0CFA" w:rsidP="002C7E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="006669F0" w:rsidRPr="00782028">
        <w:rPr>
          <w:sz w:val="28"/>
          <w:szCs w:val="28"/>
        </w:rPr>
        <w:t xml:space="preserve">оходы, получаемые в виде арендной платы за аренду </w:t>
      </w:r>
      <w:r>
        <w:rPr>
          <w:sz w:val="28"/>
          <w:szCs w:val="28"/>
        </w:rPr>
        <w:t>муниципального</w:t>
      </w:r>
      <w:r w:rsidR="006669F0" w:rsidRPr="00782028">
        <w:rPr>
          <w:sz w:val="28"/>
          <w:szCs w:val="28"/>
        </w:rPr>
        <w:t xml:space="preserve"> </w:t>
      </w:r>
      <w:r w:rsidR="006669F0" w:rsidRPr="002C7E6F">
        <w:rPr>
          <w:sz w:val="28"/>
          <w:szCs w:val="28"/>
        </w:rPr>
        <w:t>имущества, запланированы</w:t>
      </w:r>
      <w:r w:rsidR="006669F0" w:rsidRPr="00782028">
        <w:rPr>
          <w:sz w:val="28"/>
          <w:szCs w:val="28"/>
        </w:rPr>
        <w:t xml:space="preserve"> на 2017 год в су</w:t>
      </w:r>
      <w:r w:rsidR="006669F0">
        <w:rPr>
          <w:sz w:val="28"/>
          <w:szCs w:val="28"/>
        </w:rPr>
        <w:t xml:space="preserve">мме </w:t>
      </w:r>
      <w:r>
        <w:rPr>
          <w:sz w:val="28"/>
          <w:szCs w:val="28"/>
        </w:rPr>
        <w:t>2</w:t>
      </w:r>
      <w:r w:rsidR="006669F0">
        <w:rPr>
          <w:sz w:val="28"/>
          <w:szCs w:val="28"/>
        </w:rPr>
        <w:t>4,0 млн. рублей,</w:t>
      </w:r>
      <w:r w:rsidRPr="002E0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ростом </w:t>
      </w:r>
      <w:r w:rsidRPr="00782028">
        <w:rPr>
          <w:sz w:val="28"/>
          <w:szCs w:val="28"/>
        </w:rPr>
        <w:t xml:space="preserve">к утвержденному плану 2016 года </w:t>
      </w:r>
      <w:r w:rsidR="006669F0" w:rsidRPr="00782028">
        <w:rPr>
          <w:sz w:val="28"/>
          <w:szCs w:val="28"/>
        </w:rPr>
        <w:t xml:space="preserve">и к ожидаемым поступлениям на </w:t>
      </w:r>
      <w:r>
        <w:rPr>
          <w:sz w:val="28"/>
          <w:szCs w:val="28"/>
        </w:rPr>
        <w:t>5</w:t>
      </w:r>
      <w:r w:rsidR="002C7E6F">
        <w:rPr>
          <w:sz w:val="28"/>
          <w:szCs w:val="28"/>
        </w:rPr>
        <w:t>,3 процента,</w:t>
      </w:r>
      <w:r w:rsidR="006669F0" w:rsidRPr="00782028">
        <w:rPr>
          <w:sz w:val="28"/>
          <w:szCs w:val="28"/>
        </w:rPr>
        <w:t xml:space="preserve"> </w:t>
      </w:r>
      <w:r w:rsidR="002C7E6F">
        <w:rPr>
          <w:sz w:val="28"/>
          <w:szCs w:val="28"/>
        </w:rPr>
        <w:t>н</w:t>
      </w:r>
      <w:r w:rsidR="002C7E6F" w:rsidRPr="00782028">
        <w:rPr>
          <w:sz w:val="28"/>
          <w:szCs w:val="28"/>
        </w:rPr>
        <w:t xml:space="preserve">а 2018 год </w:t>
      </w:r>
      <w:r w:rsidR="002C7E6F">
        <w:rPr>
          <w:sz w:val="28"/>
          <w:szCs w:val="28"/>
        </w:rPr>
        <w:t>-</w:t>
      </w:r>
      <w:r w:rsidR="002C7E6F" w:rsidRPr="00782028">
        <w:rPr>
          <w:sz w:val="28"/>
          <w:szCs w:val="28"/>
        </w:rPr>
        <w:t xml:space="preserve"> в сумме </w:t>
      </w:r>
      <w:r w:rsidR="002C7E6F">
        <w:rPr>
          <w:sz w:val="28"/>
          <w:szCs w:val="28"/>
        </w:rPr>
        <w:t>23,2</w:t>
      </w:r>
      <w:r w:rsidR="002C7E6F" w:rsidRPr="00782028">
        <w:rPr>
          <w:sz w:val="28"/>
          <w:szCs w:val="28"/>
        </w:rPr>
        <w:t xml:space="preserve"> млн. рублей, с</w:t>
      </w:r>
      <w:r w:rsidR="002C7E6F">
        <w:rPr>
          <w:sz w:val="28"/>
          <w:szCs w:val="28"/>
        </w:rPr>
        <w:t>о</w:t>
      </w:r>
      <w:r w:rsidR="002C7E6F" w:rsidRPr="00782028">
        <w:rPr>
          <w:sz w:val="28"/>
          <w:szCs w:val="28"/>
        </w:rPr>
        <w:t xml:space="preserve"> </w:t>
      </w:r>
      <w:r w:rsidR="002C7E6F">
        <w:rPr>
          <w:sz w:val="28"/>
          <w:szCs w:val="28"/>
        </w:rPr>
        <w:t>снижением</w:t>
      </w:r>
      <w:r w:rsidR="002C7E6F" w:rsidRPr="00782028">
        <w:rPr>
          <w:sz w:val="28"/>
          <w:szCs w:val="28"/>
        </w:rPr>
        <w:t xml:space="preserve"> к 2017 году на </w:t>
      </w:r>
      <w:r w:rsidR="002C7E6F">
        <w:rPr>
          <w:sz w:val="28"/>
          <w:szCs w:val="28"/>
        </w:rPr>
        <w:t>3,2</w:t>
      </w:r>
      <w:r w:rsidR="002C7E6F" w:rsidRPr="00782028">
        <w:rPr>
          <w:sz w:val="28"/>
          <w:szCs w:val="28"/>
        </w:rPr>
        <w:t xml:space="preserve"> процента, на 2019 год – </w:t>
      </w:r>
      <w:r w:rsidR="002C7E6F">
        <w:rPr>
          <w:sz w:val="28"/>
          <w:szCs w:val="28"/>
        </w:rPr>
        <w:t>23,4</w:t>
      </w:r>
      <w:r w:rsidR="002C7E6F" w:rsidRPr="00782028">
        <w:rPr>
          <w:sz w:val="28"/>
          <w:szCs w:val="28"/>
        </w:rPr>
        <w:t xml:space="preserve"> млн. рублей, с </w:t>
      </w:r>
      <w:r w:rsidR="008453B7">
        <w:rPr>
          <w:sz w:val="28"/>
          <w:szCs w:val="28"/>
        </w:rPr>
        <w:t xml:space="preserve">незначительным </w:t>
      </w:r>
      <w:r w:rsidR="002C7E6F" w:rsidRPr="00782028">
        <w:rPr>
          <w:sz w:val="28"/>
          <w:szCs w:val="28"/>
        </w:rPr>
        <w:t xml:space="preserve">ростом к 2018 году </w:t>
      </w:r>
      <w:r w:rsidR="008453B7">
        <w:rPr>
          <w:sz w:val="28"/>
          <w:szCs w:val="28"/>
        </w:rPr>
        <w:t>на 0,9</w:t>
      </w:r>
      <w:r w:rsidR="002C7E6F">
        <w:rPr>
          <w:sz w:val="28"/>
          <w:szCs w:val="28"/>
        </w:rPr>
        <w:t xml:space="preserve"> процент</w:t>
      </w:r>
      <w:r w:rsidR="008453B7">
        <w:rPr>
          <w:sz w:val="28"/>
          <w:szCs w:val="28"/>
        </w:rPr>
        <w:t>ов</w:t>
      </w:r>
      <w:r w:rsidR="00C42D61">
        <w:rPr>
          <w:sz w:val="28"/>
          <w:szCs w:val="28"/>
        </w:rPr>
        <w:t>;</w:t>
      </w:r>
    </w:p>
    <w:p w:rsidR="008453B7" w:rsidRDefault="008453B7" w:rsidP="008453B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3) </w:t>
      </w:r>
      <w:r w:rsidR="00C93C17" w:rsidRPr="00782028">
        <w:rPr>
          <w:spacing w:val="-4"/>
          <w:sz w:val="28"/>
          <w:szCs w:val="28"/>
        </w:rPr>
        <w:t>доходы от перечисления части прибыли прогнозируются</w:t>
      </w:r>
      <w:r w:rsidR="00C93C17" w:rsidRPr="00782028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н</w:t>
      </w:r>
      <w:r w:rsidRPr="00782028">
        <w:rPr>
          <w:spacing w:val="-4"/>
          <w:sz w:val="28"/>
          <w:szCs w:val="28"/>
        </w:rPr>
        <w:t xml:space="preserve">а 2017 год </w:t>
      </w:r>
      <w:r w:rsidR="00C93C17" w:rsidRPr="00782028">
        <w:rPr>
          <w:spacing w:val="-4"/>
          <w:sz w:val="28"/>
          <w:szCs w:val="28"/>
        </w:rPr>
        <w:t xml:space="preserve">в сумме </w:t>
      </w:r>
      <w:r>
        <w:rPr>
          <w:spacing w:val="-4"/>
          <w:sz w:val="28"/>
          <w:szCs w:val="28"/>
        </w:rPr>
        <w:t>1,5</w:t>
      </w:r>
      <w:r w:rsidR="00C93C17" w:rsidRPr="00782028">
        <w:rPr>
          <w:spacing w:val="-4"/>
          <w:sz w:val="28"/>
          <w:szCs w:val="28"/>
        </w:rPr>
        <w:t xml:space="preserve"> млн.</w:t>
      </w:r>
      <w:r>
        <w:rPr>
          <w:spacing w:val="-4"/>
          <w:sz w:val="28"/>
          <w:szCs w:val="28"/>
        </w:rPr>
        <w:t xml:space="preserve"> рублей, с ростом </w:t>
      </w:r>
      <w:r w:rsidR="00C93C17" w:rsidRPr="00782028">
        <w:rPr>
          <w:spacing w:val="-4"/>
          <w:sz w:val="28"/>
          <w:szCs w:val="28"/>
        </w:rPr>
        <w:t>к утвержденному плану 2016 года</w:t>
      </w:r>
      <w:r w:rsidR="00C93C17" w:rsidRPr="00782028">
        <w:rPr>
          <w:spacing w:val="-4"/>
          <w:sz w:val="28"/>
          <w:szCs w:val="28"/>
        </w:rPr>
        <w:br/>
        <w:t xml:space="preserve">на </w:t>
      </w:r>
      <w:r>
        <w:rPr>
          <w:spacing w:val="-4"/>
          <w:sz w:val="28"/>
          <w:szCs w:val="28"/>
        </w:rPr>
        <w:t>53</w:t>
      </w:r>
      <w:r w:rsidR="00C93C17" w:rsidRPr="00782028">
        <w:rPr>
          <w:spacing w:val="-4"/>
          <w:sz w:val="28"/>
          <w:szCs w:val="28"/>
        </w:rPr>
        <w:t xml:space="preserve"> процента и </w:t>
      </w:r>
      <w:r>
        <w:rPr>
          <w:spacing w:val="-4"/>
          <w:sz w:val="28"/>
          <w:szCs w:val="28"/>
        </w:rPr>
        <w:t xml:space="preserve">на уровне </w:t>
      </w:r>
      <w:r w:rsidR="00C93C17" w:rsidRPr="00782028">
        <w:rPr>
          <w:spacing w:val="-4"/>
          <w:sz w:val="28"/>
          <w:szCs w:val="28"/>
        </w:rPr>
        <w:t>ожидаемы</w:t>
      </w:r>
      <w:r>
        <w:rPr>
          <w:spacing w:val="-4"/>
          <w:sz w:val="28"/>
          <w:szCs w:val="28"/>
        </w:rPr>
        <w:t>х</w:t>
      </w:r>
      <w:r w:rsidR="00C93C17" w:rsidRPr="00782028">
        <w:rPr>
          <w:spacing w:val="-4"/>
          <w:sz w:val="28"/>
          <w:szCs w:val="28"/>
        </w:rPr>
        <w:t xml:space="preserve"> поступлени</w:t>
      </w:r>
      <w:r>
        <w:rPr>
          <w:spacing w:val="-4"/>
          <w:sz w:val="28"/>
          <w:szCs w:val="28"/>
        </w:rPr>
        <w:t>й в текущем году</w:t>
      </w:r>
      <w:r w:rsidR="00C93C17" w:rsidRPr="00782028">
        <w:rPr>
          <w:spacing w:val="-4"/>
          <w:sz w:val="28"/>
          <w:szCs w:val="28"/>
        </w:rPr>
        <w:t xml:space="preserve">. На 2018 год указанные доходы запланированы в объеме </w:t>
      </w:r>
      <w:r>
        <w:rPr>
          <w:spacing w:val="-4"/>
          <w:sz w:val="28"/>
          <w:szCs w:val="28"/>
        </w:rPr>
        <w:t xml:space="preserve">0,6 млн. рублей, со снижением </w:t>
      </w:r>
      <w:r w:rsidR="00C93C17" w:rsidRPr="00782028">
        <w:rPr>
          <w:spacing w:val="-4"/>
          <w:sz w:val="28"/>
          <w:szCs w:val="28"/>
        </w:rPr>
        <w:t xml:space="preserve">к 2017 году на </w:t>
      </w:r>
      <w:r>
        <w:rPr>
          <w:spacing w:val="-4"/>
          <w:sz w:val="28"/>
          <w:szCs w:val="28"/>
        </w:rPr>
        <w:t xml:space="preserve">40,9 </w:t>
      </w:r>
      <w:r w:rsidR="00C93C17" w:rsidRPr="00782028">
        <w:rPr>
          <w:spacing w:val="-4"/>
          <w:sz w:val="28"/>
          <w:szCs w:val="28"/>
        </w:rPr>
        <w:t xml:space="preserve">процента, на 2019 год – </w:t>
      </w:r>
      <w:r>
        <w:rPr>
          <w:spacing w:val="-4"/>
          <w:sz w:val="28"/>
          <w:szCs w:val="28"/>
        </w:rPr>
        <w:t xml:space="preserve">0,6 </w:t>
      </w:r>
      <w:r w:rsidR="00C93C17" w:rsidRPr="00782028">
        <w:rPr>
          <w:spacing w:val="-4"/>
          <w:sz w:val="28"/>
          <w:szCs w:val="28"/>
        </w:rPr>
        <w:t xml:space="preserve">млн. рублей, </w:t>
      </w:r>
      <w:r>
        <w:rPr>
          <w:spacing w:val="-4"/>
          <w:sz w:val="28"/>
          <w:szCs w:val="28"/>
        </w:rPr>
        <w:t>на уровне</w:t>
      </w:r>
      <w:r w:rsidR="00C93C17" w:rsidRPr="00782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прогнозного </w:t>
      </w:r>
      <w:r w:rsidR="00C93C17" w:rsidRPr="00782028">
        <w:rPr>
          <w:sz w:val="28"/>
          <w:szCs w:val="28"/>
        </w:rPr>
        <w:t>2018 год</w:t>
      </w:r>
      <w:r>
        <w:rPr>
          <w:sz w:val="28"/>
          <w:szCs w:val="28"/>
        </w:rPr>
        <w:t xml:space="preserve">а. </w:t>
      </w:r>
    </w:p>
    <w:p w:rsidR="003941B1" w:rsidRDefault="00C93C17" w:rsidP="008453B7">
      <w:pPr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 w:rsidRPr="00782028">
        <w:rPr>
          <w:color w:val="000000"/>
          <w:spacing w:val="-4"/>
          <w:sz w:val="28"/>
          <w:szCs w:val="28"/>
          <w:shd w:val="clear" w:color="auto" w:fill="FFFFFF"/>
        </w:rPr>
        <w:t xml:space="preserve">Доходы от перечисления части прибыли, остающейся после уплаты налогов и иных обязательных платежей </w:t>
      </w:r>
      <w:r w:rsidR="008453B7">
        <w:rPr>
          <w:color w:val="000000"/>
          <w:spacing w:val="-4"/>
          <w:sz w:val="28"/>
          <w:szCs w:val="28"/>
          <w:shd w:val="clear" w:color="auto" w:fill="FFFFFF"/>
        </w:rPr>
        <w:t>муниципальных</w:t>
      </w:r>
      <w:r w:rsidRPr="00782028">
        <w:rPr>
          <w:color w:val="000000"/>
          <w:spacing w:val="-4"/>
          <w:sz w:val="28"/>
          <w:szCs w:val="28"/>
          <w:shd w:val="clear" w:color="auto" w:fill="FFFFFF"/>
        </w:rPr>
        <w:t xml:space="preserve"> унитарных предприятий, </w:t>
      </w:r>
      <w:r w:rsidRPr="00782028">
        <w:rPr>
          <w:spacing w:val="-4"/>
          <w:sz w:val="28"/>
          <w:szCs w:val="28"/>
        </w:rPr>
        <w:t xml:space="preserve">подлежащие перечислению в бюджет </w:t>
      </w:r>
      <w:r w:rsidR="008453B7">
        <w:rPr>
          <w:spacing w:val="-4"/>
          <w:sz w:val="28"/>
          <w:szCs w:val="28"/>
        </w:rPr>
        <w:t>городского округа</w:t>
      </w:r>
      <w:r w:rsidRPr="00782028">
        <w:rPr>
          <w:spacing w:val="-4"/>
          <w:sz w:val="28"/>
          <w:szCs w:val="28"/>
        </w:rPr>
        <w:t xml:space="preserve">, определены с учетом снижения количества </w:t>
      </w:r>
      <w:r w:rsidR="008453B7">
        <w:rPr>
          <w:spacing w:val="-4"/>
          <w:sz w:val="28"/>
          <w:szCs w:val="28"/>
        </w:rPr>
        <w:t>муниципальных</w:t>
      </w:r>
      <w:r w:rsidRPr="00782028">
        <w:rPr>
          <w:spacing w:val="-4"/>
          <w:sz w:val="28"/>
          <w:szCs w:val="28"/>
        </w:rPr>
        <w:t xml:space="preserve"> унитарных предприятий,</w:t>
      </w:r>
      <w:r w:rsidRPr="00782028">
        <w:rPr>
          <w:sz w:val="28"/>
          <w:szCs w:val="28"/>
        </w:rPr>
        <w:t xml:space="preserve"> в связи с проводимой работой по реформированию </w:t>
      </w:r>
      <w:r w:rsidR="008453B7">
        <w:rPr>
          <w:sz w:val="28"/>
          <w:szCs w:val="28"/>
        </w:rPr>
        <w:t>муниципальных</w:t>
      </w:r>
      <w:r w:rsidRPr="00782028">
        <w:rPr>
          <w:sz w:val="28"/>
          <w:szCs w:val="28"/>
        </w:rPr>
        <w:t xml:space="preserve"> унитарных предприятий</w:t>
      </w:r>
      <w:r w:rsidRPr="00782028">
        <w:rPr>
          <w:spacing w:val="-4"/>
          <w:sz w:val="28"/>
          <w:szCs w:val="28"/>
        </w:rPr>
        <w:t xml:space="preserve">. </w:t>
      </w:r>
    </w:p>
    <w:p w:rsidR="00C42D61" w:rsidRPr="00E83952" w:rsidRDefault="00C42D61" w:rsidP="00C42D61">
      <w:pPr>
        <w:ind w:firstLine="709"/>
        <w:jc w:val="both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>4)</w:t>
      </w:r>
      <w:r w:rsidRPr="00C42D61">
        <w:rPr>
          <w:sz w:val="28"/>
        </w:rPr>
        <w:t xml:space="preserve"> </w:t>
      </w:r>
      <w:r>
        <w:rPr>
          <w:sz w:val="28"/>
        </w:rPr>
        <w:t>П</w:t>
      </w:r>
      <w:r w:rsidRPr="0059637F">
        <w:rPr>
          <w:sz w:val="28"/>
        </w:rPr>
        <w:t>рочие поступления от использования имущества, находящегося в собственности городского округа (платежи населения за наем муниципального жилья)</w:t>
      </w:r>
      <w:r w:rsidRPr="00C07829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7</w:t>
      </w:r>
      <w:r w:rsidRPr="00C07829">
        <w:rPr>
          <w:bCs/>
          <w:sz w:val="28"/>
          <w:szCs w:val="28"/>
        </w:rPr>
        <w:t xml:space="preserve"> год прогнозируются с ростом</w:t>
      </w:r>
      <w:r w:rsidRPr="00C07829">
        <w:rPr>
          <w:bCs/>
          <w:sz w:val="28"/>
          <w:szCs w:val="28"/>
        </w:rPr>
        <w:br/>
        <w:t xml:space="preserve">на </w:t>
      </w:r>
      <w:r>
        <w:rPr>
          <w:bCs/>
          <w:sz w:val="28"/>
          <w:szCs w:val="28"/>
        </w:rPr>
        <w:t>11,2</w:t>
      </w:r>
      <w:r w:rsidRPr="00C07829">
        <w:rPr>
          <w:bCs/>
          <w:sz w:val="28"/>
          <w:szCs w:val="28"/>
        </w:rPr>
        <w:t xml:space="preserve"> процента к уровню 201</w:t>
      </w:r>
      <w:r>
        <w:rPr>
          <w:bCs/>
          <w:sz w:val="28"/>
          <w:szCs w:val="28"/>
        </w:rPr>
        <w:t>6</w:t>
      </w:r>
      <w:r w:rsidR="00FF6308">
        <w:rPr>
          <w:bCs/>
          <w:sz w:val="28"/>
          <w:szCs w:val="28"/>
        </w:rPr>
        <w:t xml:space="preserve"> года</w:t>
      </w:r>
      <w:r w:rsidR="00EE75D4">
        <w:rPr>
          <w:bCs/>
          <w:sz w:val="28"/>
          <w:szCs w:val="28"/>
        </w:rPr>
        <w:t>.</w:t>
      </w:r>
      <w:r w:rsidRPr="00C07829">
        <w:rPr>
          <w:bCs/>
          <w:sz w:val="28"/>
          <w:szCs w:val="28"/>
        </w:rPr>
        <w:t xml:space="preserve"> </w:t>
      </w:r>
      <w:r w:rsidR="00EE75D4">
        <w:rPr>
          <w:sz w:val="28"/>
          <w:szCs w:val="28"/>
        </w:rPr>
        <w:t>И</w:t>
      </w:r>
      <w:r w:rsidR="00FF6308">
        <w:rPr>
          <w:sz w:val="28"/>
          <w:szCs w:val="28"/>
        </w:rPr>
        <w:t>з-за</w:t>
      </w:r>
      <w:r w:rsidR="00FF6308" w:rsidRPr="0059637F">
        <w:rPr>
          <w:sz w:val="28"/>
          <w:szCs w:val="28"/>
        </w:rPr>
        <w:t xml:space="preserve"> ежегодн</w:t>
      </w:r>
      <w:r w:rsidR="00FF6308">
        <w:rPr>
          <w:sz w:val="28"/>
          <w:szCs w:val="28"/>
        </w:rPr>
        <w:t>ого</w:t>
      </w:r>
      <w:r w:rsidR="00FF6308" w:rsidRPr="0059637F">
        <w:rPr>
          <w:sz w:val="28"/>
          <w:szCs w:val="28"/>
        </w:rPr>
        <w:t xml:space="preserve"> снижени</w:t>
      </w:r>
      <w:r w:rsidR="00FF6308">
        <w:rPr>
          <w:sz w:val="28"/>
          <w:szCs w:val="28"/>
        </w:rPr>
        <w:t>я</w:t>
      </w:r>
      <w:r w:rsidR="00FF6308" w:rsidRPr="0059637F">
        <w:rPr>
          <w:sz w:val="28"/>
          <w:szCs w:val="28"/>
        </w:rPr>
        <w:t xml:space="preserve"> площади муниципального жилищного фонда</w:t>
      </w:r>
      <w:r w:rsidR="00A25B15">
        <w:rPr>
          <w:sz w:val="28"/>
          <w:szCs w:val="28"/>
        </w:rPr>
        <w:t>,</w:t>
      </w:r>
      <w:r w:rsidR="00FF6308" w:rsidRPr="0059637F">
        <w:rPr>
          <w:sz w:val="28"/>
          <w:szCs w:val="28"/>
        </w:rPr>
        <w:t xml:space="preserve"> в связи с приватизацией</w:t>
      </w:r>
      <w:r w:rsidR="00A25B15">
        <w:rPr>
          <w:sz w:val="28"/>
          <w:szCs w:val="28"/>
        </w:rPr>
        <w:t>,</w:t>
      </w:r>
      <w:r w:rsidR="00FF6308" w:rsidRPr="00C07829">
        <w:rPr>
          <w:bCs/>
          <w:sz w:val="28"/>
          <w:szCs w:val="28"/>
        </w:rPr>
        <w:t xml:space="preserve"> </w:t>
      </w:r>
      <w:r w:rsidR="00CB64BA">
        <w:rPr>
          <w:bCs/>
          <w:sz w:val="28"/>
          <w:szCs w:val="28"/>
        </w:rPr>
        <w:t xml:space="preserve">поступления платежей </w:t>
      </w:r>
      <w:r w:rsidR="00EE75D4">
        <w:rPr>
          <w:bCs/>
          <w:sz w:val="28"/>
          <w:szCs w:val="28"/>
        </w:rPr>
        <w:t xml:space="preserve">на 2018-2019 годы </w:t>
      </w:r>
      <w:r w:rsidR="00FF6308">
        <w:rPr>
          <w:bCs/>
          <w:sz w:val="28"/>
          <w:szCs w:val="28"/>
        </w:rPr>
        <w:t xml:space="preserve">запланировано </w:t>
      </w:r>
      <w:r w:rsidR="00EE75D4">
        <w:rPr>
          <w:bCs/>
          <w:sz w:val="28"/>
          <w:szCs w:val="28"/>
        </w:rPr>
        <w:t>со снижением:</w:t>
      </w:r>
      <w:r w:rsidR="00EE75D4" w:rsidRPr="00C07829">
        <w:rPr>
          <w:bCs/>
          <w:sz w:val="28"/>
          <w:szCs w:val="28"/>
        </w:rPr>
        <w:t xml:space="preserve"> </w:t>
      </w:r>
      <w:r w:rsidRPr="00C07829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8</w:t>
      </w:r>
      <w:r w:rsidR="00EE75D4">
        <w:rPr>
          <w:bCs/>
          <w:sz w:val="28"/>
          <w:szCs w:val="28"/>
        </w:rPr>
        <w:t xml:space="preserve"> год</w:t>
      </w:r>
      <w:r w:rsidRPr="00C0782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10 процентов к уровню 2017 года,</w:t>
      </w:r>
      <w:r w:rsidRPr="00C42D61">
        <w:rPr>
          <w:bCs/>
          <w:sz w:val="28"/>
          <w:szCs w:val="28"/>
        </w:rPr>
        <w:t xml:space="preserve"> </w:t>
      </w:r>
      <w:r w:rsidR="00EE75D4">
        <w:rPr>
          <w:bCs/>
          <w:sz w:val="28"/>
          <w:szCs w:val="28"/>
        </w:rPr>
        <w:t>на 2019 год –</w:t>
      </w:r>
      <w:r w:rsidRPr="00C0782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11 процентов</w:t>
      </w:r>
      <w:r w:rsidR="00FF6308">
        <w:rPr>
          <w:bCs/>
          <w:sz w:val="28"/>
          <w:szCs w:val="28"/>
        </w:rPr>
        <w:t xml:space="preserve"> к уровню 2018 года. </w:t>
      </w:r>
    </w:p>
    <w:p w:rsidR="00C93C17" w:rsidRPr="006D5D03" w:rsidRDefault="00C93C17" w:rsidP="00C93C17">
      <w:pPr>
        <w:jc w:val="center"/>
        <w:rPr>
          <w:b/>
          <w:highlight w:val="yellow"/>
        </w:rPr>
      </w:pPr>
    </w:p>
    <w:p w:rsidR="00C93C17" w:rsidRPr="00CB64BA" w:rsidRDefault="00CB64BA" w:rsidP="00C93C17">
      <w:pPr>
        <w:tabs>
          <w:tab w:val="left" w:pos="0"/>
        </w:tabs>
        <w:spacing w:line="252" w:lineRule="auto"/>
        <w:ind w:firstLine="709"/>
        <w:jc w:val="center"/>
        <w:rPr>
          <w:b/>
          <w:sz w:val="28"/>
          <w:szCs w:val="28"/>
        </w:rPr>
      </w:pPr>
      <w:r w:rsidRPr="00CB64BA">
        <w:rPr>
          <w:b/>
          <w:sz w:val="28"/>
          <w:szCs w:val="28"/>
        </w:rPr>
        <w:t>Плата за негативное воздействие на окружающую среду</w:t>
      </w:r>
    </w:p>
    <w:p w:rsidR="00CB64BA" w:rsidRPr="00CC04AB" w:rsidRDefault="00CB64BA" w:rsidP="00C93C17">
      <w:pPr>
        <w:tabs>
          <w:tab w:val="left" w:pos="0"/>
        </w:tabs>
        <w:spacing w:line="252" w:lineRule="auto"/>
        <w:ind w:firstLine="709"/>
        <w:jc w:val="center"/>
        <w:rPr>
          <w:sz w:val="28"/>
          <w:szCs w:val="28"/>
        </w:rPr>
      </w:pPr>
    </w:p>
    <w:p w:rsidR="00C93C17" w:rsidRPr="00CC04AB" w:rsidRDefault="00C93C17" w:rsidP="00CB64BA">
      <w:pPr>
        <w:spacing w:line="252" w:lineRule="auto"/>
        <w:ind w:firstLine="709"/>
        <w:jc w:val="both"/>
        <w:rPr>
          <w:sz w:val="28"/>
          <w:szCs w:val="28"/>
        </w:rPr>
      </w:pPr>
      <w:r w:rsidRPr="00CA7FE9">
        <w:rPr>
          <w:sz w:val="28"/>
          <w:szCs w:val="28"/>
        </w:rPr>
        <w:t>Прогнозируемые объемы поступлений платежей при пользовании природными ресурсами приведены в следующей таблице.</w:t>
      </w:r>
    </w:p>
    <w:tbl>
      <w:tblPr>
        <w:tblW w:w="9645" w:type="dxa"/>
        <w:tblInd w:w="108" w:type="dxa"/>
        <w:tblLayout w:type="fixed"/>
        <w:tblLook w:val="04A0"/>
      </w:tblPr>
      <w:tblGrid>
        <w:gridCol w:w="3971"/>
        <w:gridCol w:w="2266"/>
        <w:gridCol w:w="1136"/>
        <w:gridCol w:w="1136"/>
        <w:gridCol w:w="1136"/>
      </w:tblGrid>
      <w:tr w:rsidR="00C93C17" w:rsidRPr="00CA7FE9" w:rsidTr="00A904AC">
        <w:trPr>
          <w:trHeight w:hRule="exact" w:val="360"/>
          <w:tblHeader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C17" w:rsidRPr="00CA7FE9" w:rsidRDefault="00C93C17" w:rsidP="00A904AC">
            <w:pPr>
              <w:jc w:val="center"/>
              <w:rPr>
                <w:szCs w:val="28"/>
              </w:rPr>
            </w:pPr>
            <w:r w:rsidRPr="00CA7FE9">
              <w:rPr>
                <w:szCs w:val="28"/>
              </w:rPr>
              <w:t>Наименование показателя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CA7FE9" w:rsidRDefault="00C93C17" w:rsidP="00A904AC">
            <w:pPr>
              <w:jc w:val="center"/>
              <w:rPr>
                <w:szCs w:val="28"/>
              </w:rPr>
            </w:pPr>
            <w:r w:rsidRPr="00CA7FE9">
              <w:rPr>
                <w:szCs w:val="28"/>
              </w:rPr>
              <w:t>2016 год</w:t>
            </w:r>
          </w:p>
          <w:p w:rsidR="00CB64BA" w:rsidRPr="00F920E1" w:rsidRDefault="00CB64BA" w:rsidP="00CB64BA">
            <w:pPr>
              <w:jc w:val="center"/>
            </w:pPr>
            <w:r w:rsidRPr="00F920E1">
              <w:t xml:space="preserve">Решение </w:t>
            </w:r>
          </w:p>
          <w:p w:rsidR="00C93C17" w:rsidRPr="00CA7FE9" w:rsidRDefault="00CB64BA" w:rsidP="00CB64BA">
            <w:pPr>
              <w:jc w:val="center"/>
              <w:rPr>
                <w:szCs w:val="28"/>
              </w:rPr>
            </w:pPr>
            <w:r w:rsidRPr="00F920E1">
              <w:t>№ 3-42/01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CA7FE9" w:rsidRDefault="00C93C17" w:rsidP="00A904AC">
            <w:pPr>
              <w:jc w:val="center"/>
              <w:rPr>
                <w:szCs w:val="28"/>
              </w:rPr>
            </w:pPr>
            <w:r w:rsidRPr="00CA7FE9">
              <w:rPr>
                <w:szCs w:val="28"/>
              </w:rPr>
              <w:t>Проект</w:t>
            </w:r>
          </w:p>
        </w:tc>
      </w:tr>
      <w:tr w:rsidR="00C93C17" w:rsidRPr="00CA7FE9" w:rsidTr="00CB64BA">
        <w:trPr>
          <w:trHeight w:hRule="exact" w:val="531"/>
          <w:tblHeader/>
        </w:trPr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C17" w:rsidRPr="00CA7FE9" w:rsidRDefault="00C93C17" w:rsidP="00A904AC">
            <w:pPr>
              <w:rPr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CA7FE9" w:rsidRDefault="00C93C17" w:rsidP="00A904AC">
            <w:pPr>
              <w:rPr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CA7FE9" w:rsidRDefault="00C93C17" w:rsidP="00A904AC">
            <w:pPr>
              <w:jc w:val="center"/>
              <w:rPr>
                <w:szCs w:val="28"/>
              </w:rPr>
            </w:pPr>
            <w:r w:rsidRPr="00CA7FE9">
              <w:rPr>
                <w:szCs w:val="28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CA7FE9" w:rsidRDefault="00C93C17" w:rsidP="00A904AC">
            <w:pPr>
              <w:jc w:val="center"/>
              <w:rPr>
                <w:szCs w:val="28"/>
              </w:rPr>
            </w:pPr>
            <w:r w:rsidRPr="00CA7FE9">
              <w:rPr>
                <w:szCs w:val="28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CA7FE9" w:rsidRDefault="00C93C17" w:rsidP="00A904AC">
            <w:pPr>
              <w:jc w:val="center"/>
              <w:rPr>
                <w:szCs w:val="28"/>
              </w:rPr>
            </w:pPr>
            <w:r w:rsidRPr="00CA7FE9">
              <w:rPr>
                <w:szCs w:val="28"/>
              </w:rPr>
              <w:t>2019 год</w:t>
            </w:r>
          </w:p>
        </w:tc>
      </w:tr>
      <w:tr w:rsidR="00C93C17" w:rsidRPr="00CB64BA" w:rsidTr="00A904AC">
        <w:trPr>
          <w:trHeight w:val="39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CB64BA" w:rsidRDefault="00CB64BA" w:rsidP="00CB64BA">
            <w:pPr>
              <w:jc w:val="center"/>
              <w:rPr>
                <w:bCs/>
              </w:rPr>
            </w:pPr>
            <w:r>
              <w:t>П</w:t>
            </w:r>
            <w:r w:rsidRPr="00CB64BA">
              <w:t>лата за негативное воздействие на окружающую среду</w:t>
            </w:r>
          </w:p>
        </w:tc>
      </w:tr>
      <w:tr w:rsidR="00C93C17" w:rsidRPr="00CA7FE9" w:rsidTr="00A904AC">
        <w:trPr>
          <w:trHeight w:hRule="exact" w:val="27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93C17" w:rsidP="00A904AC">
            <w:pPr>
              <w:rPr>
                <w:szCs w:val="28"/>
              </w:rPr>
            </w:pPr>
            <w:r w:rsidRPr="00CA7FE9">
              <w:rPr>
                <w:szCs w:val="28"/>
              </w:rPr>
              <w:t>Объем доходов, млн. рублей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B64BA" w:rsidP="00A904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B64BA" w:rsidP="00CB64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B64BA" w:rsidP="00A904A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B64BA" w:rsidP="00A904A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3,1</w:t>
            </w:r>
          </w:p>
        </w:tc>
      </w:tr>
      <w:tr w:rsidR="00C93C17" w:rsidRPr="00CA7FE9" w:rsidTr="00A904AC">
        <w:trPr>
          <w:trHeight w:val="558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93C17" w:rsidP="00A904AC">
            <w:pPr>
              <w:rPr>
                <w:szCs w:val="28"/>
              </w:rPr>
            </w:pPr>
            <w:r w:rsidRPr="00CA7FE9">
              <w:rPr>
                <w:szCs w:val="28"/>
              </w:rPr>
              <w:t>Доля в общем объеме налоговых</w:t>
            </w:r>
            <w:r w:rsidRPr="00CA7FE9">
              <w:rPr>
                <w:szCs w:val="28"/>
              </w:rPr>
              <w:br/>
              <w:t>и неналоговых доходов бюджета, 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93C17" w:rsidP="00CB64BA">
            <w:pPr>
              <w:jc w:val="center"/>
              <w:rPr>
                <w:szCs w:val="28"/>
              </w:rPr>
            </w:pPr>
            <w:r w:rsidRPr="00CA7FE9">
              <w:rPr>
                <w:szCs w:val="28"/>
              </w:rPr>
              <w:t>0,</w:t>
            </w:r>
            <w:r w:rsidR="00CB64BA">
              <w:rPr>
                <w:szCs w:val="2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93C17" w:rsidP="00A904AC">
            <w:pPr>
              <w:jc w:val="center"/>
              <w:rPr>
                <w:szCs w:val="28"/>
              </w:rPr>
            </w:pPr>
            <w:r w:rsidRPr="00CA7FE9">
              <w:rPr>
                <w:szCs w:val="28"/>
              </w:rPr>
              <w:t>0,</w:t>
            </w:r>
            <w:r w:rsidR="00CB64BA">
              <w:rPr>
                <w:szCs w:val="28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93C17" w:rsidP="00A904AC">
            <w:pPr>
              <w:jc w:val="center"/>
              <w:rPr>
                <w:szCs w:val="28"/>
              </w:rPr>
            </w:pPr>
            <w:r w:rsidRPr="00CA7FE9">
              <w:rPr>
                <w:szCs w:val="28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93C17" w:rsidP="00A904AC">
            <w:pPr>
              <w:jc w:val="center"/>
              <w:rPr>
                <w:szCs w:val="28"/>
              </w:rPr>
            </w:pPr>
            <w:r w:rsidRPr="00CA7FE9">
              <w:rPr>
                <w:szCs w:val="28"/>
              </w:rPr>
              <w:t>0,3</w:t>
            </w:r>
          </w:p>
        </w:tc>
      </w:tr>
      <w:tr w:rsidR="00C93C17" w:rsidRPr="00CA7FE9" w:rsidTr="00A904AC">
        <w:trPr>
          <w:trHeight w:hRule="exact" w:val="556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93C17" w:rsidP="00A904AC">
            <w:pPr>
              <w:rPr>
                <w:szCs w:val="28"/>
              </w:rPr>
            </w:pPr>
            <w:r w:rsidRPr="00CA7FE9">
              <w:rPr>
                <w:szCs w:val="28"/>
              </w:rPr>
              <w:t>Прирост (снижение)</w:t>
            </w:r>
            <w:r w:rsidRPr="00CA7FE9">
              <w:rPr>
                <w:szCs w:val="28"/>
              </w:rPr>
              <w:br/>
              <w:t>к предыдущему году, млн. рублей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93C17" w:rsidP="00A904AC">
            <w:pPr>
              <w:jc w:val="center"/>
              <w:rPr>
                <w:bCs/>
                <w:szCs w:val="28"/>
              </w:rPr>
            </w:pPr>
            <w:r w:rsidRPr="00CA7FE9">
              <w:rPr>
                <w:szCs w:val="2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B64BA" w:rsidP="00A904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B64BA" w:rsidP="00A904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CA7FE9" w:rsidRDefault="00CB64BA" w:rsidP="00A904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</w:tr>
    </w:tbl>
    <w:p w:rsidR="00C93C17" w:rsidRPr="00CA7FE9" w:rsidRDefault="00C93C17" w:rsidP="00C93C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FE9">
        <w:rPr>
          <w:rFonts w:ascii="Times New Roman" w:hAnsi="Times New Roman" w:cs="Times New Roman"/>
          <w:sz w:val="28"/>
          <w:szCs w:val="28"/>
        </w:rPr>
        <w:t xml:space="preserve">Прогноз поступления платы за негативное воздействие на окружающую среду на 2017 год определен в сумме </w:t>
      </w:r>
      <w:r w:rsidR="00CB64BA">
        <w:rPr>
          <w:rFonts w:ascii="Times New Roman" w:hAnsi="Times New Roman" w:cs="Times New Roman"/>
          <w:sz w:val="28"/>
          <w:szCs w:val="28"/>
        </w:rPr>
        <w:t>3,1</w:t>
      </w:r>
      <w:r w:rsidRPr="00CA7FE9">
        <w:rPr>
          <w:rFonts w:ascii="Times New Roman" w:hAnsi="Times New Roman" w:cs="Times New Roman"/>
          <w:sz w:val="28"/>
          <w:szCs w:val="28"/>
        </w:rPr>
        <w:t xml:space="preserve"> млн. рублей, на </w:t>
      </w:r>
      <w:r w:rsidR="00CB64BA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CA7FE9">
        <w:rPr>
          <w:rFonts w:ascii="Times New Roman" w:hAnsi="Times New Roman" w:cs="Times New Roman"/>
          <w:sz w:val="28"/>
          <w:szCs w:val="28"/>
        </w:rPr>
        <w:t>оценки 2016 года и в 3,2 раза выше утвержденного плана на 2016 год.</w:t>
      </w:r>
      <w:r w:rsidRPr="00CA7FE9">
        <w:rPr>
          <w:rFonts w:ascii="Times New Roman" w:hAnsi="Times New Roman" w:cs="Times New Roman"/>
          <w:sz w:val="28"/>
          <w:szCs w:val="28"/>
        </w:rPr>
        <w:br/>
        <w:t>На 2018</w:t>
      </w:r>
      <w:r w:rsidR="002A5DA3">
        <w:rPr>
          <w:rFonts w:ascii="Times New Roman" w:hAnsi="Times New Roman" w:cs="Times New Roman"/>
          <w:sz w:val="28"/>
          <w:szCs w:val="28"/>
        </w:rPr>
        <w:t xml:space="preserve"> год</w:t>
      </w:r>
      <w:r w:rsidRPr="00CA7FE9">
        <w:rPr>
          <w:rFonts w:ascii="Times New Roman" w:hAnsi="Times New Roman" w:cs="Times New Roman"/>
          <w:sz w:val="28"/>
          <w:szCs w:val="28"/>
        </w:rPr>
        <w:t xml:space="preserve"> поступления указанных доходов планируются в сумме </w:t>
      </w:r>
      <w:r w:rsidR="002A5DA3">
        <w:rPr>
          <w:rFonts w:ascii="Times New Roman" w:hAnsi="Times New Roman" w:cs="Times New Roman"/>
          <w:sz w:val="28"/>
          <w:szCs w:val="28"/>
        </w:rPr>
        <w:t>3,1</w:t>
      </w:r>
      <w:r w:rsidRPr="00CA7FE9">
        <w:rPr>
          <w:rFonts w:ascii="Times New Roman" w:hAnsi="Times New Roman" w:cs="Times New Roman"/>
          <w:sz w:val="28"/>
          <w:szCs w:val="28"/>
        </w:rPr>
        <w:t xml:space="preserve"> млн. рублей, с</w:t>
      </w:r>
      <w:r w:rsidR="002A5DA3">
        <w:rPr>
          <w:rFonts w:ascii="Times New Roman" w:hAnsi="Times New Roman" w:cs="Times New Roman"/>
          <w:sz w:val="28"/>
          <w:szCs w:val="28"/>
        </w:rPr>
        <w:t xml:space="preserve"> незначительным снижением</w:t>
      </w:r>
      <w:r w:rsidRPr="00CA7FE9">
        <w:rPr>
          <w:rFonts w:ascii="Times New Roman" w:hAnsi="Times New Roman" w:cs="Times New Roman"/>
          <w:sz w:val="28"/>
          <w:szCs w:val="28"/>
        </w:rPr>
        <w:t xml:space="preserve"> к 2017 году на </w:t>
      </w:r>
      <w:r w:rsidR="002A5DA3">
        <w:rPr>
          <w:rFonts w:ascii="Times New Roman" w:hAnsi="Times New Roman" w:cs="Times New Roman"/>
          <w:sz w:val="28"/>
          <w:szCs w:val="28"/>
        </w:rPr>
        <w:t>0,9</w:t>
      </w:r>
      <w:r w:rsidRPr="00CA7FE9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2A5DA3">
        <w:rPr>
          <w:rFonts w:ascii="Times New Roman" w:hAnsi="Times New Roman" w:cs="Times New Roman"/>
          <w:sz w:val="28"/>
          <w:szCs w:val="28"/>
        </w:rPr>
        <w:t>та, на 2019 год – на уровне</w:t>
      </w:r>
      <w:r w:rsidR="00E83763">
        <w:rPr>
          <w:rFonts w:ascii="Times New Roman" w:hAnsi="Times New Roman" w:cs="Times New Roman"/>
          <w:sz w:val="28"/>
          <w:szCs w:val="28"/>
        </w:rPr>
        <w:t xml:space="preserve"> </w:t>
      </w:r>
      <w:r w:rsidRPr="00CA7FE9">
        <w:rPr>
          <w:rFonts w:ascii="Times New Roman" w:hAnsi="Times New Roman" w:cs="Times New Roman"/>
          <w:sz w:val="28"/>
          <w:szCs w:val="28"/>
        </w:rPr>
        <w:t>2018 года.</w:t>
      </w:r>
    </w:p>
    <w:p w:rsidR="00C93C17" w:rsidRPr="00CA7FE9" w:rsidRDefault="00C93C17" w:rsidP="00C93C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FE9">
        <w:rPr>
          <w:rFonts w:ascii="Times New Roman" w:hAnsi="Times New Roman" w:cs="Times New Roman"/>
          <w:sz w:val="28"/>
          <w:szCs w:val="28"/>
        </w:rPr>
        <w:t>Расчет платы за негативное воздействие на окружающую среду произведен на основе прогнозируемых объемов выброс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7FE9">
        <w:rPr>
          <w:rFonts w:ascii="Times New Roman" w:hAnsi="Times New Roman" w:cs="Times New Roman"/>
          <w:sz w:val="28"/>
          <w:szCs w:val="28"/>
        </w:rPr>
        <w:t xml:space="preserve"> загрязняющих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FE9">
        <w:rPr>
          <w:rFonts w:ascii="Times New Roman" w:hAnsi="Times New Roman" w:cs="Times New Roman"/>
          <w:sz w:val="28"/>
          <w:szCs w:val="28"/>
        </w:rPr>
        <w:t>в атмосферный воздух, сброс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7FE9">
        <w:rPr>
          <w:rFonts w:ascii="Times New Roman" w:hAnsi="Times New Roman" w:cs="Times New Roman"/>
          <w:sz w:val="28"/>
          <w:szCs w:val="28"/>
        </w:rPr>
        <w:t xml:space="preserve"> загрязняющих вещест</w:t>
      </w:r>
      <w:r>
        <w:rPr>
          <w:rFonts w:ascii="Times New Roman" w:hAnsi="Times New Roman" w:cs="Times New Roman"/>
          <w:sz w:val="28"/>
          <w:szCs w:val="28"/>
        </w:rPr>
        <w:t>в с отводимыми сточными водами и размещения</w:t>
      </w:r>
      <w:r w:rsidRPr="00CA7FE9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C93C17" w:rsidRPr="00CA7FE9" w:rsidRDefault="00C93C17" w:rsidP="00C93C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FE9">
        <w:rPr>
          <w:rFonts w:ascii="Times New Roman" w:hAnsi="Times New Roman" w:cs="Times New Roman"/>
          <w:sz w:val="28"/>
          <w:szCs w:val="28"/>
        </w:rPr>
        <w:t xml:space="preserve">Рост поступлений платы за негативное воздействие на окружающую </w:t>
      </w:r>
      <w:r w:rsidRPr="00CA7FE9">
        <w:rPr>
          <w:rFonts w:ascii="Times New Roman" w:hAnsi="Times New Roman" w:cs="Times New Roman"/>
          <w:sz w:val="28"/>
          <w:szCs w:val="28"/>
        </w:rPr>
        <w:lastRenderedPageBreak/>
        <w:t>среду в 2017 году по сравнению с утвержденным планом на 2016 год обусловлен изменением с 1 января 2016 года отчетного периода в отношении внесения платы за негативное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FE9">
        <w:rPr>
          <w:rFonts w:ascii="Times New Roman" w:hAnsi="Times New Roman" w:cs="Times New Roman"/>
          <w:sz w:val="28"/>
          <w:szCs w:val="28"/>
        </w:rPr>
        <w:t>на окружающую среду (отчетным период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7FE9">
        <w:rPr>
          <w:rFonts w:ascii="Times New Roman" w:hAnsi="Times New Roman" w:cs="Times New Roman"/>
          <w:sz w:val="28"/>
          <w:szCs w:val="28"/>
        </w:rPr>
        <w:t xml:space="preserve"> признается год, ранее – квартал).</w:t>
      </w:r>
    </w:p>
    <w:p w:rsidR="00C93C17" w:rsidRDefault="00C93C17" w:rsidP="00C93C17">
      <w:pPr>
        <w:ind w:firstLine="720"/>
        <w:jc w:val="center"/>
        <w:rPr>
          <w:b/>
          <w:sz w:val="28"/>
          <w:szCs w:val="28"/>
          <w:highlight w:val="yellow"/>
        </w:rPr>
      </w:pPr>
    </w:p>
    <w:p w:rsidR="00C93C17" w:rsidRPr="00AD43F4" w:rsidRDefault="00C93C17" w:rsidP="00C93C17">
      <w:pPr>
        <w:jc w:val="center"/>
        <w:rPr>
          <w:b/>
          <w:sz w:val="28"/>
          <w:szCs w:val="28"/>
        </w:rPr>
      </w:pPr>
      <w:r w:rsidRPr="00AD43F4">
        <w:rPr>
          <w:b/>
          <w:sz w:val="28"/>
          <w:szCs w:val="28"/>
        </w:rPr>
        <w:t xml:space="preserve">Доходы от оказания платных услуг (работ) и компенсации </w:t>
      </w:r>
    </w:p>
    <w:p w:rsidR="00C93C17" w:rsidRPr="00AD43F4" w:rsidRDefault="00C93C17" w:rsidP="00C93C17">
      <w:pPr>
        <w:jc w:val="center"/>
        <w:rPr>
          <w:b/>
          <w:sz w:val="28"/>
          <w:szCs w:val="28"/>
        </w:rPr>
      </w:pPr>
      <w:r w:rsidRPr="00AD43F4">
        <w:rPr>
          <w:b/>
          <w:sz w:val="28"/>
          <w:szCs w:val="28"/>
        </w:rPr>
        <w:t>затрат государства</w:t>
      </w:r>
    </w:p>
    <w:p w:rsidR="00C93C17" w:rsidRPr="00AD43F4" w:rsidRDefault="00C93C17" w:rsidP="00C93C17">
      <w:pPr>
        <w:jc w:val="both"/>
        <w:rPr>
          <w:sz w:val="28"/>
          <w:szCs w:val="28"/>
        </w:rPr>
      </w:pPr>
    </w:p>
    <w:p w:rsidR="00C93C17" w:rsidRPr="005A4183" w:rsidRDefault="00C93C17" w:rsidP="005A418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43F4">
        <w:rPr>
          <w:bCs/>
          <w:sz w:val="28"/>
          <w:szCs w:val="28"/>
        </w:rPr>
        <w:t xml:space="preserve">Прогноз поступлений </w:t>
      </w:r>
      <w:r w:rsidRPr="00AD43F4">
        <w:rPr>
          <w:sz w:val="28"/>
          <w:szCs w:val="28"/>
        </w:rPr>
        <w:t>доходов от оказания платных услуг (работ)</w:t>
      </w:r>
      <w:r w:rsidRPr="00AD43F4">
        <w:rPr>
          <w:sz w:val="28"/>
          <w:szCs w:val="28"/>
        </w:rPr>
        <w:br/>
        <w:t xml:space="preserve">и компенсации затрат государства </w:t>
      </w:r>
      <w:r w:rsidRPr="00AD43F4">
        <w:rPr>
          <w:bCs/>
          <w:sz w:val="28"/>
          <w:szCs w:val="28"/>
        </w:rPr>
        <w:t>характеризу</w:t>
      </w:r>
      <w:r>
        <w:rPr>
          <w:bCs/>
          <w:sz w:val="28"/>
          <w:szCs w:val="28"/>
        </w:rPr>
        <w:t>е</w:t>
      </w:r>
      <w:r w:rsidRPr="00AD43F4">
        <w:rPr>
          <w:bCs/>
          <w:sz w:val="28"/>
          <w:szCs w:val="28"/>
        </w:rPr>
        <w:t>тся следующими данными:</w:t>
      </w:r>
    </w:p>
    <w:tbl>
      <w:tblPr>
        <w:tblW w:w="9660" w:type="dxa"/>
        <w:tblInd w:w="93" w:type="dxa"/>
        <w:tblLayout w:type="fixed"/>
        <w:tblLook w:val="04A0"/>
      </w:tblPr>
      <w:tblGrid>
        <w:gridCol w:w="4551"/>
        <w:gridCol w:w="1701"/>
        <w:gridCol w:w="1136"/>
        <w:gridCol w:w="1136"/>
        <w:gridCol w:w="1136"/>
      </w:tblGrid>
      <w:tr w:rsidR="00C93C17" w:rsidRPr="00AD43F4" w:rsidTr="00A904AC">
        <w:trPr>
          <w:trHeight w:hRule="exact" w:val="318"/>
          <w:tblHeader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C17" w:rsidRPr="00AD43F4" w:rsidRDefault="00C93C17" w:rsidP="00A904AC">
            <w:pPr>
              <w:jc w:val="center"/>
            </w:pPr>
            <w:r w:rsidRPr="00AD43F4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D43F4" w:rsidRDefault="00C93C17" w:rsidP="00A904AC">
            <w:pPr>
              <w:jc w:val="center"/>
            </w:pPr>
            <w:r w:rsidRPr="00AD43F4">
              <w:t>2016 год</w:t>
            </w:r>
          </w:p>
          <w:p w:rsidR="005A4183" w:rsidRPr="00F920E1" w:rsidRDefault="005A4183" w:rsidP="005A4183">
            <w:pPr>
              <w:jc w:val="center"/>
            </w:pPr>
            <w:r w:rsidRPr="00F920E1">
              <w:t xml:space="preserve">Решение </w:t>
            </w:r>
          </w:p>
          <w:p w:rsidR="00C93C17" w:rsidRPr="00AD43F4" w:rsidRDefault="005A4183" w:rsidP="005A4183">
            <w:pPr>
              <w:jc w:val="center"/>
            </w:pPr>
            <w:r w:rsidRPr="00F920E1">
              <w:t>№ 3-42/01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D43F4" w:rsidRDefault="00C93C17" w:rsidP="00A904AC">
            <w:pPr>
              <w:jc w:val="center"/>
            </w:pPr>
            <w:r w:rsidRPr="00AD43F4">
              <w:t>Проект</w:t>
            </w:r>
          </w:p>
        </w:tc>
      </w:tr>
      <w:tr w:rsidR="00C93C17" w:rsidRPr="00AD43F4" w:rsidTr="005A4183">
        <w:trPr>
          <w:trHeight w:hRule="exact" w:val="604"/>
          <w:tblHeader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C17" w:rsidRPr="00AD43F4" w:rsidRDefault="00C93C17" w:rsidP="00A904A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D43F4" w:rsidRDefault="00C93C17" w:rsidP="00A904AC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D43F4" w:rsidRDefault="00C93C17" w:rsidP="00A904AC">
            <w:pPr>
              <w:jc w:val="center"/>
            </w:pPr>
            <w:r w:rsidRPr="00AD43F4"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D43F4" w:rsidRDefault="00C93C17" w:rsidP="00A904AC">
            <w:pPr>
              <w:jc w:val="center"/>
            </w:pPr>
            <w:r w:rsidRPr="00AD43F4"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AD43F4" w:rsidRDefault="00C93C17" w:rsidP="00A904AC">
            <w:pPr>
              <w:jc w:val="center"/>
            </w:pPr>
            <w:r w:rsidRPr="00AD43F4">
              <w:t>2019 год</w:t>
            </w:r>
          </w:p>
        </w:tc>
      </w:tr>
      <w:tr w:rsidR="00C93C17" w:rsidRPr="00AD43F4" w:rsidTr="00A904AC">
        <w:trPr>
          <w:trHeight w:val="39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B54CF2" w:rsidRDefault="00C93C17" w:rsidP="00A904AC">
            <w:pPr>
              <w:jc w:val="center"/>
              <w:rPr>
                <w:bCs/>
              </w:rPr>
            </w:pPr>
            <w:r w:rsidRPr="00B54CF2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</w:tr>
      <w:tr w:rsidR="00C93C17" w:rsidRPr="00AD43F4" w:rsidTr="00A904AC">
        <w:trPr>
          <w:trHeight w:hRule="exact" w:val="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AD43F4" w:rsidRDefault="00C93C17" w:rsidP="00A904AC">
            <w:r w:rsidRPr="00AD43F4">
              <w:t>Объем доходов, млн.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AD43F4" w:rsidRDefault="000D677F" w:rsidP="00A904AC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AD43F4" w:rsidRDefault="000D677F" w:rsidP="00A9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C93C17" w:rsidRPr="00AD43F4">
              <w:rPr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AD43F4" w:rsidRDefault="000D677F" w:rsidP="00A9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AD43F4" w:rsidRDefault="000D677F" w:rsidP="00A9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C93C17" w:rsidRPr="00AD43F4" w:rsidTr="00A904AC">
        <w:trPr>
          <w:trHeight w:val="5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AD43F4" w:rsidRDefault="00C93C17" w:rsidP="00A904AC">
            <w:r w:rsidRPr="00AD43F4">
              <w:t>Доля в общем объеме налоговых</w:t>
            </w:r>
            <w:r w:rsidRPr="00AD43F4">
              <w:br/>
              <w:t>и неналоговых доходов бюджета,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C17" w:rsidRPr="00AD43F4" w:rsidRDefault="00C93C17" w:rsidP="00545717">
            <w:pPr>
              <w:jc w:val="center"/>
            </w:pPr>
            <w:r>
              <w:t>0,0</w:t>
            </w:r>
            <w:r w:rsidR="0058799A"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C17" w:rsidRPr="00AD43F4" w:rsidRDefault="00C93C17" w:rsidP="00A904AC">
            <w:pPr>
              <w:jc w:val="center"/>
            </w:pPr>
            <w:r>
              <w:t>0,03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C17" w:rsidRPr="00AD43F4" w:rsidRDefault="00C93C17" w:rsidP="00A904AC">
            <w:pPr>
              <w:jc w:val="center"/>
            </w:pPr>
            <w:r>
              <w:t>0,03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C17" w:rsidRPr="00AD43F4" w:rsidRDefault="00C93C17" w:rsidP="00A904AC">
            <w:pPr>
              <w:jc w:val="center"/>
            </w:pPr>
            <w:r>
              <w:t>0,03</w:t>
            </w:r>
          </w:p>
        </w:tc>
      </w:tr>
      <w:tr w:rsidR="00C93C17" w:rsidRPr="00AD43F4" w:rsidTr="00A904AC">
        <w:trPr>
          <w:trHeight w:hRule="exact" w:val="5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AD43F4" w:rsidRDefault="00C93C17" w:rsidP="00A904AC">
            <w:r w:rsidRPr="00AD43F4">
              <w:t>Прирост (снижение)</w:t>
            </w:r>
            <w:r w:rsidRPr="00AD43F4">
              <w:br/>
              <w:t>к предыдущему году, млн.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AD43F4" w:rsidRDefault="00C93C17" w:rsidP="00A904AC">
            <w:pPr>
              <w:jc w:val="center"/>
              <w:rPr>
                <w:bCs/>
              </w:rPr>
            </w:pPr>
            <w:r w:rsidRPr="00AD43F4"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C17" w:rsidRPr="00AD43F4" w:rsidRDefault="000D677F" w:rsidP="00A904A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C17" w:rsidRPr="00AD43F4" w:rsidRDefault="000D677F" w:rsidP="00A904A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C17" w:rsidRPr="00AD43F4" w:rsidRDefault="000D677F" w:rsidP="00A904AC">
            <w:pPr>
              <w:jc w:val="center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</w:tbl>
    <w:p w:rsidR="00C93C17" w:rsidRPr="00AD43F4" w:rsidRDefault="00C93C17" w:rsidP="00C93C17">
      <w:pPr>
        <w:ind w:firstLine="709"/>
        <w:jc w:val="both"/>
        <w:rPr>
          <w:sz w:val="28"/>
          <w:szCs w:val="28"/>
        </w:rPr>
      </w:pPr>
      <w:r w:rsidRPr="00AD43F4">
        <w:rPr>
          <w:sz w:val="28"/>
          <w:szCs w:val="28"/>
        </w:rPr>
        <w:t xml:space="preserve">Доходы от оказания платных услуг (работ) и </w:t>
      </w:r>
      <w:r w:rsidR="00F76122">
        <w:rPr>
          <w:sz w:val="28"/>
          <w:szCs w:val="28"/>
        </w:rPr>
        <w:t xml:space="preserve">доходы, </w:t>
      </w:r>
      <w:r w:rsidR="00F76122" w:rsidRPr="00F76122">
        <w:rPr>
          <w:sz w:val="28"/>
          <w:szCs w:val="28"/>
        </w:rPr>
        <w:t>поступающие в порядке возмещения расходов, понесенных в связи с эксплуатацией имущества городск</w:t>
      </w:r>
      <w:r w:rsidR="00F76122">
        <w:rPr>
          <w:sz w:val="28"/>
          <w:szCs w:val="28"/>
        </w:rPr>
        <w:t>ого</w:t>
      </w:r>
      <w:r w:rsidR="00F76122" w:rsidRPr="00F76122">
        <w:rPr>
          <w:sz w:val="28"/>
          <w:szCs w:val="28"/>
        </w:rPr>
        <w:t xml:space="preserve"> округ</w:t>
      </w:r>
      <w:r w:rsidR="00F76122">
        <w:rPr>
          <w:sz w:val="28"/>
          <w:szCs w:val="28"/>
        </w:rPr>
        <w:t xml:space="preserve">а (возмещение </w:t>
      </w:r>
      <w:r w:rsidR="006320E2">
        <w:rPr>
          <w:sz w:val="28"/>
          <w:szCs w:val="28"/>
        </w:rPr>
        <w:t xml:space="preserve">расходов по коммунальным услугам, за аренду помещений) </w:t>
      </w:r>
      <w:r w:rsidR="00F76122" w:rsidRPr="00EF7382">
        <w:rPr>
          <w:sz w:val="28"/>
          <w:szCs w:val="28"/>
        </w:rPr>
        <w:t xml:space="preserve">на 2017–2019 годы прогнозируются в незначительных размерах по </w:t>
      </w:r>
      <w:r w:rsidR="00F76122">
        <w:rPr>
          <w:sz w:val="28"/>
          <w:szCs w:val="28"/>
        </w:rPr>
        <w:t>330,0</w:t>
      </w:r>
      <w:r w:rsidR="00F76122" w:rsidRPr="00EF7382">
        <w:rPr>
          <w:sz w:val="28"/>
          <w:szCs w:val="28"/>
        </w:rPr>
        <w:t>-</w:t>
      </w:r>
      <w:r w:rsidR="00F76122">
        <w:rPr>
          <w:sz w:val="28"/>
          <w:szCs w:val="28"/>
        </w:rPr>
        <w:t>360,0 тыс. рублей в год.</w:t>
      </w:r>
    </w:p>
    <w:p w:rsidR="00C93C17" w:rsidRPr="00187655" w:rsidRDefault="00C93C17" w:rsidP="00C93C17">
      <w:pPr>
        <w:tabs>
          <w:tab w:val="left" w:pos="0"/>
        </w:tabs>
        <w:ind w:firstLine="709"/>
        <w:jc w:val="center"/>
        <w:rPr>
          <w:sz w:val="28"/>
          <w:szCs w:val="28"/>
          <w:highlight w:val="yellow"/>
        </w:rPr>
      </w:pPr>
    </w:p>
    <w:p w:rsidR="00C93C17" w:rsidRPr="00670E4C" w:rsidRDefault="00C93C17" w:rsidP="00C93C17">
      <w:pPr>
        <w:tabs>
          <w:tab w:val="left" w:pos="0"/>
        </w:tabs>
        <w:jc w:val="center"/>
        <w:rPr>
          <w:b/>
          <w:sz w:val="28"/>
          <w:szCs w:val="28"/>
        </w:rPr>
      </w:pPr>
      <w:r w:rsidRPr="00670E4C">
        <w:rPr>
          <w:b/>
          <w:sz w:val="28"/>
          <w:szCs w:val="28"/>
        </w:rPr>
        <w:t>Доходы от продажи материальных и нематериальных активов</w:t>
      </w:r>
    </w:p>
    <w:p w:rsidR="00C93C17" w:rsidRPr="00670E4C" w:rsidRDefault="00C93C17" w:rsidP="00C93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3C17" w:rsidRPr="00670E4C" w:rsidRDefault="00C93C17" w:rsidP="00B76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4C">
        <w:rPr>
          <w:sz w:val="28"/>
          <w:szCs w:val="28"/>
        </w:rPr>
        <w:t>Прогнозируемые объемы поступлений доходов от продажи материальных и нематериальных активов приведены в следующей таблице.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3"/>
        <w:gridCol w:w="1701"/>
        <w:gridCol w:w="1134"/>
        <w:gridCol w:w="1134"/>
        <w:gridCol w:w="1134"/>
      </w:tblGrid>
      <w:tr w:rsidR="00C93C17" w:rsidRPr="00670E4C" w:rsidTr="00A904AC"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4C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670E4C">
              <w:t>2016 год</w:t>
            </w:r>
          </w:p>
          <w:p w:rsidR="00B76507" w:rsidRPr="00F920E1" w:rsidRDefault="00B76507" w:rsidP="00B76507">
            <w:pPr>
              <w:jc w:val="center"/>
            </w:pPr>
            <w:r w:rsidRPr="00F920E1">
              <w:t xml:space="preserve">Решение </w:t>
            </w:r>
          </w:p>
          <w:p w:rsidR="00C93C17" w:rsidRPr="00670E4C" w:rsidRDefault="00B76507" w:rsidP="00B7650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F920E1">
              <w:t>№ 3-42/01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4C">
              <w:t>Проект</w:t>
            </w:r>
          </w:p>
        </w:tc>
      </w:tr>
      <w:tr w:rsidR="00C93C17" w:rsidRPr="00670E4C" w:rsidTr="00A904AC">
        <w:trPr>
          <w:trHeight w:val="462"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4C"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4C"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4C">
              <w:t>2019 год</w:t>
            </w:r>
          </w:p>
        </w:tc>
      </w:tr>
      <w:tr w:rsidR="00C93C17" w:rsidRPr="00670E4C" w:rsidTr="00A904AC">
        <w:trPr>
          <w:trHeight w:val="382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B54CF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CF2">
              <w:t>Доходы от продажи материальных и нематериальных активов</w:t>
            </w:r>
          </w:p>
        </w:tc>
      </w:tr>
      <w:tr w:rsidR="00C93C17" w:rsidRPr="00670E4C" w:rsidTr="00A904A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доходов, </w:t>
            </w:r>
            <w:r w:rsidRPr="00670E4C">
              <w:t>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B7650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B7650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B7650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C93C17" w:rsidRPr="00670E4C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C93C17" w:rsidP="00B765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4C">
              <w:t>1</w:t>
            </w:r>
            <w:r w:rsidR="00B76507">
              <w:t>3</w:t>
            </w:r>
            <w:r w:rsidRPr="00670E4C">
              <w:t>,6</w:t>
            </w:r>
          </w:p>
        </w:tc>
      </w:tr>
      <w:tr w:rsidR="00C93C17" w:rsidRPr="00670E4C" w:rsidTr="00A904A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670E4C">
              <w:t>Доля в общем объеме налоговых</w:t>
            </w:r>
            <w:r w:rsidRPr="00670E4C">
              <w:br/>
              <w:t>и неналоговых доходов бюджета,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B7650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3C17" w:rsidRPr="00670E4C">
              <w:t>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B7650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B7650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B7650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1,4</w:t>
            </w:r>
          </w:p>
        </w:tc>
      </w:tr>
      <w:tr w:rsidR="00C93C17" w:rsidRPr="00670E4C" w:rsidTr="00A904A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670E4C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670E4C">
              <w:t>Прирост (снижение)</w:t>
            </w:r>
            <w:r w:rsidRPr="00670E4C">
              <w:br/>
              <w:t>к предыдущему году, 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670E4C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4C"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B7650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C93C17" w:rsidRPr="00670E4C">
              <w:t>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B7650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670E4C" w:rsidRDefault="00B7650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C93C17" w:rsidRPr="00670E4C" w:rsidRDefault="00C93C17" w:rsidP="00C93C1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0E4C">
        <w:rPr>
          <w:sz w:val="28"/>
          <w:szCs w:val="28"/>
        </w:rPr>
        <w:t xml:space="preserve">Доходы от продажи материальных и нематериальных активов на 2017 год прогнозируются со снижением к утвержденному плану на </w:t>
      </w:r>
      <w:r w:rsidR="00B76507">
        <w:rPr>
          <w:sz w:val="28"/>
          <w:szCs w:val="28"/>
        </w:rPr>
        <w:t>57,1</w:t>
      </w:r>
      <w:r w:rsidR="005A0BA8">
        <w:rPr>
          <w:sz w:val="28"/>
          <w:szCs w:val="28"/>
        </w:rPr>
        <w:t xml:space="preserve"> процент,</w:t>
      </w:r>
      <w:r w:rsidR="005A0BA8" w:rsidRPr="005A0BA8">
        <w:rPr>
          <w:sz w:val="28"/>
          <w:szCs w:val="28"/>
        </w:rPr>
        <w:t xml:space="preserve"> </w:t>
      </w:r>
      <w:r w:rsidR="005A0BA8" w:rsidRPr="00670E4C">
        <w:rPr>
          <w:sz w:val="28"/>
          <w:szCs w:val="28"/>
        </w:rPr>
        <w:t>что обусловлено снижением объемов продажи объектов недвижимости</w:t>
      </w:r>
      <w:r w:rsidRPr="00670E4C">
        <w:rPr>
          <w:sz w:val="28"/>
          <w:szCs w:val="28"/>
        </w:rPr>
        <w:t>.</w:t>
      </w:r>
    </w:p>
    <w:p w:rsidR="00C93C17" w:rsidRPr="00670E4C" w:rsidRDefault="00C93C17" w:rsidP="005A0BA8">
      <w:pPr>
        <w:shd w:val="clear" w:color="auto" w:fill="FFFFFF"/>
        <w:ind w:firstLine="709"/>
        <w:jc w:val="both"/>
        <w:rPr>
          <w:sz w:val="28"/>
          <w:szCs w:val="28"/>
        </w:rPr>
      </w:pPr>
      <w:r w:rsidRPr="00670E4C">
        <w:rPr>
          <w:sz w:val="28"/>
          <w:szCs w:val="28"/>
        </w:rPr>
        <w:t xml:space="preserve">На 2018 год поступления планируются </w:t>
      </w:r>
      <w:r w:rsidR="00B76507">
        <w:rPr>
          <w:sz w:val="28"/>
          <w:szCs w:val="28"/>
        </w:rPr>
        <w:t>с небольшим ростом</w:t>
      </w:r>
      <w:r w:rsidRPr="00670E4C">
        <w:rPr>
          <w:sz w:val="28"/>
          <w:szCs w:val="28"/>
        </w:rPr>
        <w:t xml:space="preserve"> на </w:t>
      </w:r>
      <w:r w:rsidR="005A0BA8">
        <w:rPr>
          <w:sz w:val="28"/>
          <w:szCs w:val="28"/>
        </w:rPr>
        <w:t>5</w:t>
      </w:r>
      <w:r w:rsidRPr="00670E4C">
        <w:rPr>
          <w:sz w:val="28"/>
          <w:szCs w:val="28"/>
        </w:rPr>
        <w:t xml:space="preserve"> процент</w:t>
      </w:r>
      <w:r w:rsidR="005A0BA8">
        <w:rPr>
          <w:sz w:val="28"/>
          <w:szCs w:val="28"/>
        </w:rPr>
        <w:t xml:space="preserve">ов </w:t>
      </w:r>
      <w:r w:rsidRPr="00670E4C">
        <w:rPr>
          <w:sz w:val="28"/>
          <w:szCs w:val="28"/>
        </w:rPr>
        <w:t xml:space="preserve">к 2017 году, на 2019 год – </w:t>
      </w:r>
      <w:r w:rsidR="005A0BA8">
        <w:rPr>
          <w:sz w:val="28"/>
          <w:szCs w:val="28"/>
        </w:rPr>
        <w:t>с ростом</w:t>
      </w:r>
      <w:r w:rsidRPr="00670E4C">
        <w:rPr>
          <w:sz w:val="28"/>
          <w:szCs w:val="28"/>
        </w:rPr>
        <w:t xml:space="preserve"> на </w:t>
      </w:r>
      <w:r w:rsidR="005A0BA8">
        <w:rPr>
          <w:sz w:val="28"/>
          <w:szCs w:val="28"/>
        </w:rPr>
        <w:t>7,9 процента к 2018 году</w:t>
      </w:r>
      <w:r w:rsidRPr="00670E4C">
        <w:rPr>
          <w:sz w:val="28"/>
          <w:szCs w:val="28"/>
        </w:rPr>
        <w:t>.</w:t>
      </w:r>
    </w:p>
    <w:p w:rsidR="00C93C17" w:rsidRPr="00187655" w:rsidRDefault="00C93C17" w:rsidP="00C93C17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204DFC" w:rsidRDefault="00204DFC" w:rsidP="00C93C17">
      <w:pPr>
        <w:jc w:val="center"/>
        <w:rPr>
          <w:b/>
          <w:sz w:val="28"/>
          <w:szCs w:val="28"/>
        </w:rPr>
      </w:pPr>
    </w:p>
    <w:p w:rsidR="00204DFC" w:rsidRDefault="00204DFC" w:rsidP="00C93C17">
      <w:pPr>
        <w:jc w:val="center"/>
        <w:rPr>
          <w:b/>
          <w:sz w:val="28"/>
          <w:szCs w:val="28"/>
        </w:rPr>
      </w:pPr>
    </w:p>
    <w:p w:rsidR="00C93C17" w:rsidRPr="00002DF9" w:rsidRDefault="00C93C17" w:rsidP="00C93C17">
      <w:pPr>
        <w:jc w:val="center"/>
        <w:rPr>
          <w:b/>
          <w:sz w:val="28"/>
          <w:szCs w:val="28"/>
        </w:rPr>
      </w:pPr>
      <w:r w:rsidRPr="00002DF9">
        <w:rPr>
          <w:b/>
          <w:sz w:val="28"/>
          <w:szCs w:val="28"/>
        </w:rPr>
        <w:lastRenderedPageBreak/>
        <w:t>Административные платежи и сборы</w:t>
      </w:r>
    </w:p>
    <w:p w:rsidR="00C93C17" w:rsidRPr="00002DF9" w:rsidRDefault="00C93C17" w:rsidP="00C93C17">
      <w:pPr>
        <w:ind w:firstLine="709"/>
        <w:jc w:val="center"/>
        <w:rPr>
          <w:b/>
          <w:sz w:val="28"/>
          <w:szCs w:val="28"/>
        </w:rPr>
      </w:pPr>
    </w:p>
    <w:p w:rsidR="00C93C17" w:rsidRDefault="00C93C17" w:rsidP="005A0B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2DF9">
        <w:rPr>
          <w:bCs/>
          <w:sz w:val="28"/>
          <w:szCs w:val="28"/>
        </w:rPr>
        <w:t xml:space="preserve">Планируемые поступления </w:t>
      </w:r>
      <w:r w:rsidRPr="00002DF9">
        <w:rPr>
          <w:sz w:val="28"/>
          <w:szCs w:val="28"/>
        </w:rPr>
        <w:t xml:space="preserve">административных платежей и сборов </w:t>
      </w:r>
      <w:r w:rsidRPr="00002DF9">
        <w:rPr>
          <w:bCs/>
          <w:sz w:val="28"/>
          <w:szCs w:val="28"/>
        </w:rPr>
        <w:t xml:space="preserve">характеризуются следующими данными: </w:t>
      </w:r>
    </w:p>
    <w:p w:rsidR="00D164C2" w:rsidRPr="00002DF9" w:rsidRDefault="00D164C2" w:rsidP="005A0B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1653"/>
        <w:gridCol w:w="1073"/>
        <w:gridCol w:w="1075"/>
        <w:gridCol w:w="1073"/>
      </w:tblGrid>
      <w:tr w:rsidR="00C93C17" w:rsidRPr="00002DF9" w:rsidTr="00A904AC">
        <w:trPr>
          <w:cantSplit/>
          <w:trHeight w:hRule="exact" w:val="318"/>
          <w:tblHeader/>
        </w:trPr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DF9">
              <w:t>Наименование показателя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DF9">
              <w:t>2016 год</w:t>
            </w:r>
          </w:p>
          <w:p w:rsidR="005A0BA8" w:rsidRPr="00F920E1" w:rsidRDefault="005A0BA8" w:rsidP="005A0BA8">
            <w:pPr>
              <w:jc w:val="center"/>
            </w:pPr>
            <w:r w:rsidRPr="00F920E1">
              <w:t xml:space="preserve">Решение </w:t>
            </w:r>
          </w:p>
          <w:p w:rsidR="00C93C17" w:rsidRPr="00002DF9" w:rsidRDefault="005A0BA8" w:rsidP="005A0B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0E1">
              <w:t>№ 3-42/01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DF9">
              <w:t>Проект</w:t>
            </w:r>
          </w:p>
        </w:tc>
      </w:tr>
      <w:tr w:rsidR="00C93C17" w:rsidRPr="00002DF9" w:rsidTr="00700CA8">
        <w:trPr>
          <w:trHeight w:hRule="exact" w:val="611"/>
          <w:tblHeader/>
        </w:trPr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002DF9" w:rsidRDefault="00C93C17" w:rsidP="00A904AC">
            <w:pPr>
              <w:jc w:val="center"/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002DF9" w:rsidRDefault="00C93C17" w:rsidP="00A904AC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DF9">
              <w:t>2017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DF9">
              <w:t>2018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DF9">
              <w:t>2019 год</w:t>
            </w:r>
          </w:p>
        </w:tc>
      </w:tr>
      <w:tr w:rsidR="00C93C17" w:rsidRPr="00002DF9" w:rsidTr="00A904AC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C17" w:rsidRPr="00B54CF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CF2">
              <w:t>Административные платежи и сборы</w:t>
            </w:r>
          </w:p>
        </w:tc>
      </w:tr>
      <w:tr w:rsidR="00C93C17" w:rsidRPr="00002DF9" w:rsidTr="00A904AC">
        <w:trPr>
          <w:cantSplit/>
          <w:trHeight w:hRule="exact" w:val="353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002DF9">
              <w:t>Объем доходов, млн. рублей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5A0BA8" w:rsidP="00A904AC">
            <w:pPr>
              <w:jc w:val="center"/>
            </w:pPr>
            <w:r>
              <w:t>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5A0BA8" w:rsidP="00A904AC">
            <w:pPr>
              <w:jc w:val="center"/>
            </w:pPr>
            <w:r>
              <w:t>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5A0BA8" w:rsidP="00A904AC">
            <w:pPr>
              <w:jc w:val="center"/>
            </w:pPr>
            <w:r>
              <w:t>3,5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5A0BA8" w:rsidP="00A904AC">
            <w:pPr>
              <w:jc w:val="center"/>
            </w:pPr>
            <w:r>
              <w:t>3,5</w:t>
            </w:r>
          </w:p>
        </w:tc>
      </w:tr>
      <w:tr w:rsidR="00C93C17" w:rsidRPr="00002DF9" w:rsidTr="00A904AC">
        <w:trPr>
          <w:cantSplit/>
          <w:trHeight w:val="558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002DF9">
              <w:t>Доля в общем объеме налоговых</w:t>
            </w:r>
          </w:p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002DF9">
              <w:t>и неналоговых доходов бюджета, %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002DF9" w:rsidRDefault="00C93C17" w:rsidP="00B60D1E">
            <w:pPr>
              <w:jc w:val="center"/>
            </w:pPr>
            <w:r>
              <w:t>0,</w:t>
            </w:r>
            <w:r w:rsidR="00127C32"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002DF9" w:rsidRDefault="00C93C17" w:rsidP="00127C32">
            <w:pPr>
              <w:jc w:val="center"/>
            </w:pPr>
            <w:r>
              <w:t>0,</w:t>
            </w:r>
            <w:r w:rsidR="00127C32"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002DF9" w:rsidRDefault="00C93C17" w:rsidP="00127C32">
            <w:pPr>
              <w:jc w:val="center"/>
            </w:pPr>
            <w:r>
              <w:t>0,</w:t>
            </w:r>
            <w:r w:rsidR="00127C32"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93C17" w:rsidRPr="00002DF9" w:rsidRDefault="00C93C17" w:rsidP="00127C32">
            <w:pPr>
              <w:jc w:val="center"/>
            </w:pPr>
            <w:r>
              <w:t>0,</w:t>
            </w:r>
            <w:r w:rsidR="00127C32">
              <w:t>4</w:t>
            </w:r>
          </w:p>
        </w:tc>
      </w:tr>
      <w:tr w:rsidR="00C93C17" w:rsidRPr="00002DF9" w:rsidTr="00A904AC">
        <w:trPr>
          <w:cantSplit/>
          <w:trHeight w:val="558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002DF9">
              <w:t>Прирост (снижение)</w:t>
            </w:r>
            <w:r w:rsidRPr="00002DF9">
              <w:br/>
              <w:t>к предыдущему году, млн. рублей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DF9">
              <w:t>х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127C32" w:rsidP="00A904AC">
            <w:pPr>
              <w:jc w:val="center"/>
            </w:pPr>
            <w:r>
              <w:t>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127C32" w:rsidP="00A904AC">
            <w:pPr>
              <w:jc w:val="center"/>
            </w:pPr>
            <w:r>
              <w:t>-2,5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002DF9" w:rsidRDefault="00C93C17" w:rsidP="00127C32">
            <w:pPr>
              <w:jc w:val="center"/>
            </w:pPr>
            <w:r w:rsidRPr="00002DF9">
              <w:t>0</w:t>
            </w:r>
          </w:p>
        </w:tc>
      </w:tr>
    </w:tbl>
    <w:p w:rsidR="00C93C17" w:rsidRPr="00002DF9" w:rsidRDefault="00C93C17" w:rsidP="00870C5F">
      <w:pPr>
        <w:ind w:firstLine="709"/>
        <w:jc w:val="both"/>
        <w:rPr>
          <w:sz w:val="28"/>
          <w:szCs w:val="28"/>
        </w:rPr>
      </w:pPr>
      <w:r w:rsidRPr="00002DF9">
        <w:rPr>
          <w:sz w:val="28"/>
          <w:szCs w:val="28"/>
        </w:rPr>
        <w:t xml:space="preserve">В 2017 году поступления административных платежей и сборов </w:t>
      </w:r>
      <w:r w:rsidR="00832442">
        <w:rPr>
          <w:sz w:val="28"/>
          <w:szCs w:val="28"/>
        </w:rPr>
        <w:t xml:space="preserve">(платежи за право эксплуатации рекламного места путем установки и эксплуатации рекламной конструкции) </w:t>
      </w:r>
      <w:r w:rsidRPr="00002DF9">
        <w:rPr>
          <w:sz w:val="28"/>
          <w:szCs w:val="28"/>
        </w:rPr>
        <w:t xml:space="preserve">прогнозируются </w:t>
      </w:r>
      <w:r w:rsidRPr="00002DF9">
        <w:rPr>
          <w:bCs/>
          <w:sz w:val="28"/>
          <w:szCs w:val="28"/>
        </w:rPr>
        <w:t>с ростом</w:t>
      </w:r>
      <w:r w:rsidRPr="00002DF9">
        <w:rPr>
          <w:sz w:val="28"/>
          <w:szCs w:val="28"/>
        </w:rPr>
        <w:t xml:space="preserve"> на </w:t>
      </w:r>
      <w:r w:rsidR="00870C5F">
        <w:rPr>
          <w:sz w:val="28"/>
          <w:szCs w:val="28"/>
        </w:rPr>
        <w:t>71,4 процента</w:t>
      </w:r>
      <w:r w:rsidRPr="00002DF9">
        <w:rPr>
          <w:sz w:val="28"/>
          <w:szCs w:val="28"/>
        </w:rPr>
        <w:t xml:space="preserve"> </w:t>
      </w:r>
      <w:r w:rsidR="00832442">
        <w:rPr>
          <w:bCs/>
          <w:sz w:val="28"/>
          <w:szCs w:val="28"/>
        </w:rPr>
        <w:t xml:space="preserve">к утвержденному плану </w:t>
      </w:r>
      <w:r w:rsidRPr="00002DF9">
        <w:rPr>
          <w:bCs/>
          <w:sz w:val="28"/>
          <w:szCs w:val="28"/>
        </w:rPr>
        <w:t>2016 года</w:t>
      </w:r>
      <w:r w:rsidRPr="00002DF9">
        <w:rPr>
          <w:sz w:val="28"/>
          <w:szCs w:val="28"/>
        </w:rPr>
        <w:t xml:space="preserve"> и на 1,1 процента к уровню ожидаемых поступлений в 2016 году. </w:t>
      </w:r>
      <w:r w:rsidR="00870C5F">
        <w:rPr>
          <w:sz w:val="28"/>
          <w:szCs w:val="28"/>
        </w:rPr>
        <w:t>Б</w:t>
      </w:r>
      <w:r w:rsidRPr="00002DF9">
        <w:rPr>
          <w:sz w:val="28"/>
          <w:szCs w:val="28"/>
        </w:rPr>
        <w:t xml:space="preserve">ольшой рост поступлений в 2017 году по сравнению с </w:t>
      </w:r>
      <w:r w:rsidRPr="00002DF9">
        <w:rPr>
          <w:bCs/>
          <w:sz w:val="28"/>
          <w:szCs w:val="28"/>
        </w:rPr>
        <w:t>утвержденным планом 2016 года</w:t>
      </w:r>
      <w:r w:rsidRPr="00002DF9">
        <w:rPr>
          <w:sz w:val="28"/>
          <w:szCs w:val="28"/>
        </w:rPr>
        <w:t xml:space="preserve"> прогнозируется исходя из фактических поступлений </w:t>
      </w:r>
      <w:r w:rsidR="00870C5F">
        <w:rPr>
          <w:sz w:val="28"/>
          <w:szCs w:val="28"/>
        </w:rPr>
        <w:t>за текущий год.</w:t>
      </w:r>
    </w:p>
    <w:p w:rsidR="00C93C17" w:rsidRPr="000942AF" w:rsidRDefault="00C93C17" w:rsidP="00C93C17">
      <w:pPr>
        <w:ind w:firstLine="709"/>
        <w:jc w:val="center"/>
        <w:rPr>
          <w:b/>
          <w:sz w:val="28"/>
          <w:szCs w:val="28"/>
          <w:highlight w:val="yellow"/>
        </w:rPr>
      </w:pPr>
    </w:p>
    <w:p w:rsidR="00C93C17" w:rsidRPr="00372A86" w:rsidRDefault="00C93C17" w:rsidP="00C93C17">
      <w:pPr>
        <w:jc w:val="center"/>
        <w:rPr>
          <w:b/>
          <w:sz w:val="28"/>
          <w:szCs w:val="28"/>
        </w:rPr>
      </w:pPr>
      <w:r w:rsidRPr="00372A86">
        <w:rPr>
          <w:b/>
          <w:sz w:val="28"/>
          <w:szCs w:val="28"/>
        </w:rPr>
        <w:t>Штрафы, санкции, возмещение ущерба</w:t>
      </w:r>
    </w:p>
    <w:p w:rsidR="00C93C17" w:rsidRPr="00372A86" w:rsidRDefault="00C93C17" w:rsidP="00C93C17">
      <w:pPr>
        <w:ind w:firstLine="709"/>
        <w:jc w:val="center"/>
        <w:rPr>
          <w:b/>
          <w:sz w:val="28"/>
          <w:szCs w:val="28"/>
        </w:rPr>
      </w:pPr>
    </w:p>
    <w:p w:rsidR="00C93C17" w:rsidRPr="00372A86" w:rsidRDefault="00C93C17" w:rsidP="00B6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A86">
        <w:rPr>
          <w:sz w:val="28"/>
          <w:szCs w:val="28"/>
        </w:rPr>
        <w:t>Прогнозируемые объемы поступлений штрафов, санкций, возмещения ущерба приведены в следующей таблице.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1760"/>
        <w:gridCol w:w="1084"/>
        <w:gridCol w:w="1084"/>
        <w:gridCol w:w="1086"/>
      </w:tblGrid>
      <w:tr w:rsidR="00C93C17" w:rsidRPr="00372A86" w:rsidTr="00A904AC">
        <w:trPr>
          <w:cantSplit/>
          <w:trHeight w:hRule="exact" w:val="354"/>
          <w:tblHeader/>
        </w:trPr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Наименование показателя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2016 год</w:t>
            </w:r>
          </w:p>
          <w:p w:rsidR="00870C5F" w:rsidRPr="00F920E1" w:rsidRDefault="00870C5F" w:rsidP="00870C5F">
            <w:pPr>
              <w:jc w:val="center"/>
            </w:pPr>
            <w:r w:rsidRPr="00F920E1">
              <w:t xml:space="preserve">Решение </w:t>
            </w:r>
          </w:p>
          <w:p w:rsidR="00C93C17" w:rsidRPr="00372A86" w:rsidRDefault="00870C5F" w:rsidP="00870C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0E1">
              <w:t>№ 3-42/01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Проект</w:t>
            </w:r>
          </w:p>
        </w:tc>
      </w:tr>
      <w:tr w:rsidR="00C93C17" w:rsidRPr="00372A86" w:rsidTr="00870C5F">
        <w:trPr>
          <w:trHeight w:hRule="exact" w:val="521"/>
          <w:tblHeader/>
        </w:trPr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72A86" w:rsidRDefault="00C93C17" w:rsidP="00A904AC"/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72A86" w:rsidRDefault="00C93C17" w:rsidP="00A904AC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2017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2018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2019 год</w:t>
            </w:r>
          </w:p>
        </w:tc>
      </w:tr>
      <w:tr w:rsidR="00C93C17" w:rsidRPr="00372A86" w:rsidTr="00A904AC">
        <w:trPr>
          <w:cantSplit/>
          <w:trHeight w:val="2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B54CF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CF2">
              <w:t>Штрафы, санкции, возмещение ущерба</w:t>
            </w:r>
          </w:p>
        </w:tc>
      </w:tr>
      <w:tr w:rsidR="00C93C17" w:rsidRPr="00372A86" w:rsidTr="00A904AC">
        <w:trPr>
          <w:cantSplit/>
          <w:trHeight w:hRule="exact" w:val="37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372A86">
              <w:t>Объем доходов, млн.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56279E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56279E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6279E" w:rsidRPr="00372A86" w:rsidRDefault="0056279E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56279E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C93C17" w:rsidRPr="00372A86" w:rsidTr="00A904AC">
        <w:trPr>
          <w:cantSplit/>
          <w:trHeight w:val="558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372A86">
              <w:t>Доля в общем объеме налоговых</w:t>
            </w:r>
          </w:p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372A86">
              <w:t xml:space="preserve">и </w:t>
            </w:r>
            <w:r w:rsidRPr="00372A86">
              <w:rPr>
                <w:szCs w:val="28"/>
              </w:rPr>
              <w:t>неналоговых</w:t>
            </w:r>
            <w:r w:rsidRPr="00372A86">
              <w:t xml:space="preserve"> доходов бюджета, %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C93C17" w:rsidP="00562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1,</w:t>
            </w:r>
            <w:r w:rsidR="0056279E"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C93C17" w:rsidP="00562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1,</w:t>
            </w:r>
            <w:r w:rsidR="0056279E"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C93C17" w:rsidP="00562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1,</w:t>
            </w:r>
            <w:r w:rsidR="0056279E"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C93C17" w:rsidP="00562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1,</w:t>
            </w:r>
            <w:r w:rsidR="0056279E">
              <w:t>3</w:t>
            </w:r>
          </w:p>
        </w:tc>
      </w:tr>
      <w:tr w:rsidR="00C93C17" w:rsidRPr="00372A86" w:rsidTr="00A904AC">
        <w:trPr>
          <w:cantSplit/>
          <w:trHeight w:val="558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372A86">
              <w:t xml:space="preserve">Прирост (снижение) </w:t>
            </w:r>
            <w:r w:rsidRPr="00372A86">
              <w:br/>
              <w:t>к предыдущему году, млн.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A86">
              <w:t>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56279E" w:rsidP="00A904AC">
            <w:pPr>
              <w:jc w:val="center"/>
            </w:pPr>
            <w: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56279E" w:rsidP="00A904AC">
            <w:pPr>
              <w:jc w:val="center"/>
            </w:pPr>
            <w: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93C17" w:rsidRPr="00372A86" w:rsidRDefault="00C93C17" w:rsidP="00A904AC">
            <w:pPr>
              <w:jc w:val="center"/>
            </w:pPr>
            <w:r w:rsidRPr="00372A86">
              <w:t>0</w:t>
            </w:r>
          </w:p>
        </w:tc>
      </w:tr>
    </w:tbl>
    <w:p w:rsidR="00C93C17" w:rsidRPr="00372A86" w:rsidRDefault="00C93C17" w:rsidP="00C93C17">
      <w:pPr>
        <w:ind w:firstLine="709"/>
        <w:jc w:val="both"/>
        <w:rPr>
          <w:sz w:val="28"/>
          <w:szCs w:val="28"/>
        </w:rPr>
      </w:pPr>
      <w:r w:rsidRPr="00372A86">
        <w:rPr>
          <w:sz w:val="28"/>
          <w:szCs w:val="28"/>
        </w:rPr>
        <w:t xml:space="preserve">Поступления штрафов, санкций, возмещения ущерба прогнозируются </w:t>
      </w:r>
      <w:r w:rsidRPr="00372A86">
        <w:rPr>
          <w:sz w:val="28"/>
          <w:szCs w:val="28"/>
        </w:rPr>
        <w:br/>
        <w:t xml:space="preserve">на 2017 год </w:t>
      </w:r>
      <w:r w:rsidR="00A76FD6">
        <w:rPr>
          <w:sz w:val="28"/>
          <w:szCs w:val="28"/>
        </w:rPr>
        <w:t>на уровне</w:t>
      </w:r>
      <w:r w:rsidRPr="00372A86">
        <w:rPr>
          <w:sz w:val="28"/>
          <w:szCs w:val="28"/>
        </w:rPr>
        <w:t xml:space="preserve"> утвержденн</w:t>
      </w:r>
      <w:r w:rsidR="00A76FD6">
        <w:rPr>
          <w:sz w:val="28"/>
          <w:szCs w:val="28"/>
        </w:rPr>
        <w:t>ого</w:t>
      </w:r>
      <w:r w:rsidRPr="00372A86">
        <w:rPr>
          <w:sz w:val="28"/>
          <w:szCs w:val="28"/>
        </w:rPr>
        <w:t xml:space="preserve"> план</w:t>
      </w:r>
      <w:r w:rsidR="00A76FD6">
        <w:rPr>
          <w:sz w:val="28"/>
          <w:szCs w:val="28"/>
        </w:rPr>
        <w:t xml:space="preserve">а </w:t>
      </w:r>
      <w:r w:rsidRPr="00372A86">
        <w:rPr>
          <w:sz w:val="28"/>
          <w:szCs w:val="28"/>
        </w:rPr>
        <w:t xml:space="preserve">2016 года и </w:t>
      </w:r>
      <w:r w:rsidRPr="00372A86">
        <w:rPr>
          <w:color w:val="000000"/>
          <w:sz w:val="28"/>
          <w:szCs w:val="28"/>
        </w:rPr>
        <w:t xml:space="preserve">на </w:t>
      </w:r>
      <w:r w:rsidR="00EC7CB7">
        <w:rPr>
          <w:color w:val="000000"/>
          <w:sz w:val="28"/>
          <w:szCs w:val="28"/>
        </w:rPr>
        <w:t>5</w:t>
      </w:r>
      <w:r w:rsidRPr="00372A86">
        <w:rPr>
          <w:color w:val="000000"/>
          <w:sz w:val="28"/>
          <w:szCs w:val="28"/>
        </w:rPr>
        <w:t xml:space="preserve"> </w:t>
      </w:r>
      <w:r w:rsidRPr="00372A86">
        <w:rPr>
          <w:bCs/>
          <w:color w:val="000000"/>
          <w:sz w:val="28"/>
          <w:szCs w:val="28"/>
        </w:rPr>
        <w:t>процент</w:t>
      </w:r>
      <w:r w:rsidR="00EC7CB7">
        <w:rPr>
          <w:bCs/>
          <w:color w:val="000000"/>
          <w:sz w:val="28"/>
          <w:szCs w:val="28"/>
        </w:rPr>
        <w:t>ов</w:t>
      </w:r>
      <w:r w:rsidRPr="00372A86">
        <w:rPr>
          <w:bCs/>
          <w:color w:val="000000"/>
          <w:sz w:val="28"/>
          <w:szCs w:val="28"/>
        </w:rPr>
        <w:t xml:space="preserve"> </w:t>
      </w:r>
      <w:r w:rsidR="00EC7CB7">
        <w:rPr>
          <w:bCs/>
          <w:sz w:val="28"/>
          <w:szCs w:val="28"/>
        </w:rPr>
        <w:t>больше</w:t>
      </w:r>
      <w:r w:rsidRPr="00372A86">
        <w:rPr>
          <w:sz w:val="28"/>
          <w:szCs w:val="28"/>
        </w:rPr>
        <w:t xml:space="preserve"> о</w:t>
      </w:r>
      <w:r w:rsidR="00A76FD6">
        <w:rPr>
          <w:sz w:val="28"/>
          <w:szCs w:val="28"/>
        </w:rPr>
        <w:t xml:space="preserve">жидаемых поступлений 2016 года, </w:t>
      </w:r>
      <w:r w:rsidRPr="00372A86">
        <w:rPr>
          <w:sz w:val="28"/>
          <w:szCs w:val="28"/>
        </w:rPr>
        <w:t>на 2018–2019 годы – на уровне 2017 года.</w:t>
      </w:r>
    </w:p>
    <w:p w:rsidR="00421FBD" w:rsidRDefault="00C93C17" w:rsidP="00421FB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72A86">
        <w:rPr>
          <w:sz w:val="28"/>
          <w:szCs w:val="28"/>
        </w:rPr>
        <w:t>Основная доля поступлений приходится на поступления административных штрафов за правонарушения</w:t>
      </w:r>
      <w:r w:rsidR="00421FBD">
        <w:rPr>
          <w:sz w:val="28"/>
          <w:szCs w:val="28"/>
        </w:rPr>
        <w:t>, установленные патрульно-постовой службой отдела МВД России по городу Нефтекамску</w:t>
      </w:r>
      <w:r w:rsidRPr="00372A86">
        <w:rPr>
          <w:sz w:val="28"/>
          <w:szCs w:val="28"/>
        </w:rPr>
        <w:t xml:space="preserve"> </w:t>
      </w:r>
      <w:r w:rsidR="00421FBD">
        <w:rPr>
          <w:sz w:val="28"/>
          <w:szCs w:val="28"/>
        </w:rPr>
        <w:t>(</w:t>
      </w:r>
      <w:r w:rsidR="00771F79">
        <w:rPr>
          <w:sz w:val="28"/>
          <w:szCs w:val="28"/>
        </w:rPr>
        <w:t xml:space="preserve">за </w:t>
      </w:r>
      <w:r w:rsidR="00421FBD">
        <w:rPr>
          <w:sz w:val="28"/>
          <w:szCs w:val="28"/>
        </w:rPr>
        <w:t>мелкое хулиганство,</w:t>
      </w:r>
      <w:r w:rsidR="00421FBD" w:rsidRPr="00421FBD">
        <w:rPr>
          <w:sz w:val="28"/>
          <w:szCs w:val="28"/>
        </w:rPr>
        <w:t xml:space="preserve"> </w:t>
      </w:r>
      <w:r w:rsidR="00421FBD">
        <w:rPr>
          <w:sz w:val="28"/>
          <w:szCs w:val="28"/>
        </w:rPr>
        <w:t>п</w:t>
      </w:r>
      <w:r w:rsidR="00421FBD" w:rsidRPr="008C4ADB">
        <w:rPr>
          <w:sz w:val="28"/>
          <w:szCs w:val="28"/>
        </w:rPr>
        <w:t>оявление в общественных местах в состоянии опьянения</w:t>
      </w:r>
      <w:r w:rsidR="00421FBD">
        <w:rPr>
          <w:sz w:val="28"/>
          <w:szCs w:val="28"/>
        </w:rPr>
        <w:t xml:space="preserve">, потребление (распитие) алкогольной продукции в запрещенных местах либо потребление наркотических средств или психотропных веществ, новых </w:t>
      </w:r>
      <w:r w:rsidR="00421FBD">
        <w:rPr>
          <w:sz w:val="28"/>
          <w:szCs w:val="28"/>
        </w:rPr>
        <w:lastRenderedPageBreak/>
        <w:t>потенциально опасных психоактивных веществ или одурманивающих веществ в общественных местах, нарушение установленного федеральным законом запрета курения табака на отдельных территориях, в помещениях и на объектах и т. д.)</w:t>
      </w:r>
    </w:p>
    <w:p w:rsidR="00C93C17" w:rsidRPr="002732F8" w:rsidRDefault="00C93C17" w:rsidP="00EB545F">
      <w:pPr>
        <w:ind w:firstLine="709"/>
        <w:jc w:val="both"/>
        <w:rPr>
          <w:sz w:val="28"/>
          <w:szCs w:val="28"/>
        </w:rPr>
      </w:pPr>
      <w:r w:rsidRPr="00372A86">
        <w:rPr>
          <w:sz w:val="28"/>
          <w:szCs w:val="28"/>
        </w:rPr>
        <w:t xml:space="preserve">В этой связи прогноз поступлений штрафов </w:t>
      </w:r>
      <w:r>
        <w:rPr>
          <w:sz w:val="28"/>
          <w:szCs w:val="28"/>
        </w:rPr>
        <w:t>на 2017–</w:t>
      </w:r>
      <w:r w:rsidRPr="00372A86">
        <w:rPr>
          <w:sz w:val="28"/>
          <w:szCs w:val="28"/>
        </w:rPr>
        <w:t xml:space="preserve">2019 годы без динамики обусловлен </w:t>
      </w:r>
      <w:r>
        <w:rPr>
          <w:sz w:val="28"/>
          <w:szCs w:val="28"/>
        </w:rPr>
        <w:t>эффективностью</w:t>
      </w:r>
      <w:r w:rsidRPr="00372A86">
        <w:rPr>
          <w:sz w:val="28"/>
          <w:szCs w:val="28"/>
        </w:rPr>
        <w:t xml:space="preserve"> </w:t>
      </w:r>
      <w:r w:rsidR="00EB545F">
        <w:rPr>
          <w:sz w:val="28"/>
          <w:szCs w:val="28"/>
        </w:rPr>
        <w:t>методов проведения профилактической работы</w:t>
      </w:r>
      <w:r w:rsidR="00EB545F" w:rsidRPr="00372A86">
        <w:rPr>
          <w:sz w:val="28"/>
          <w:szCs w:val="28"/>
        </w:rPr>
        <w:t xml:space="preserve"> </w:t>
      </w:r>
      <w:r w:rsidR="00EB545F">
        <w:rPr>
          <w:sz w:val="28"/>
          <w:szCs w:val="28"/>
        </w:rPr>
        <w:t xml:space="preserve">и </w:t>
      </w:r>
      <w:r w:rsidRPr="00372A86">
        <w:rPr>
          <w:sz w:val="28"/>
          <w:szCs w:val="28"/>
        </w:rPr>
        <w:t>принимаемых мер по предотвращению роста правонарушений</w:t>
      </w:r>
      <w:r w:rsidR="00EB545F">
        <w:rPr>
          <w:sz w:val="28"/>
          <w:szCs w:val="28"/>
        </w:rPr>
        <w:t>.</w:t>
      </w:r>
    </w:p>
    <w:p w:rsidR="00C93C17" w:rsidRDefault="00C93C17" w:rsidP="00C93C17">
      <w:pPr>
        <w:ind w:firstLine="709"/>
      </w:pPr>
    </w:p>
    <w:p w:rsidR="00C93C17" w:rsidRPr="00EF7382" w:rsidRDefault="00C93C17" w:rsidP="00C93C17">
      <w:pPr>
        <w:jc w:val="center"/>
        <w:rPr>
          <w:b/>
          <w:sz w:val="28"/>
          <w:szCs w:val="28"/>
        </w:rPr>
      </w:pPr>
      <w:r w:rsidRPr="00EF7382">
        <w:rPr>
          <w:b/>
          <w:sz w:val="28"/>
          <w:szCs w:val="28"/>
        </w:rPr>
        <w:t>Прочие неналоговые доходы</w:t>
      </w:r>
    </w:p>
    <w:p w:rsidR="00C93C17" w:rsidRPr="00EF7382" w:rsidRDefault="00C93C17" w:rsidP="00C93C17">
      <w:pPr>
        <w:ind w:firstLine="708"/>
        <w:rPr>
          <w:sz w:val="28"/>
          <w:szCs w:val="28"/>
        </w:rPr>
      </w:pPr>
    </w:p>
    <w:p w:rsidR="00EB545F" w:rsidRPr="00EF7382" w:rsidRDefault="00C93C17" w:rsidP="00C93C1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382">
        <w:rPr>
          <w:bCs/>
          <w:sz w:val="28"/>
          <w:szCs w:val="28"/>
        </w:rPr>
        <w:t>Планируемые поступления прочих неналоговых доходов характеризуются следующими данными: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3"/>
        <w:gridCol w:w="1701"/>
        <w:gridCol w:w="1134"/>
        <w:gridCol w:w="1134"/>
        <w:gridCol w:w="1134"/>
      </w:tblGrid>
      <w:tr w:rsidR="00C93C17" w:rsidRPr="00EF7382" w:rsidTr="00A904AC">
        <w:trPr>
          <w:tblHeader/>
        </w:trPr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F738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382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5F" w:rsidRPr="00F920E1" w:rsidRDefault="00C93C17" w:rsidP="00EB545F">
            <w:pPr>
              <w:jc w:val="center"/>
            </w:pPr>
            <w:r w:rsidRPr="00EF7382">
              <w:t xml:space="preserve">2016 год </w:t>
            </w:r>
            <w:r w:rsidR="00EB545F" w:rsidRPr="00F920E1">
              <w:t xml:space="preserve">Решение </w:t>
            </w:r>
          </w:p>
          <w:p w:rsidR="00C93C17" w:rsidRPr="00EF7382" w:rsidRDefault="00EB545F" w:rsidP="00EB5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0E1">
              <w:t>№ 3-42/01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F738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382">
              <w:t>Проект</w:t>
            </w:r>
          </w:p>
        </w:tc>
      </w:tr>
      <w:tr w:rsidR="00C93C17" w:rsidRPr="00EF7382" w:rsidTr="00A904AC">
        <w:trPr>
          <w:trHeight w:val="353"/>
          <w:tblHeader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F7382" w:rsidRDefault="00C93C17" w:rsidP="00A904A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F7382" w:rsidRDefault="00C93C17" w:rsidP="00A904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F738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382"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F738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382"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EF738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382">
              <w:t>2019 год</w:t>
            </w:r>
          </w:p>
        </w:tc>
      </w:tr>
      <w:tr w:rsidR="00C93C17" w:rsidRPr="00EF7382" w:rsidTr="00A904AC"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B54CF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CF2">
              <w:t>Прочие неналоговые доходы</w:t>
            </w:r>
          </w:p>
        </w:tc>
      </w:tr>
      <w:tr w:rsidR="00C93C17" w:rsidRPr="00EF7382" w:rsidTr="00A904A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F7382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EF7382">
              <w:t>Объем доходов, 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F7382" w:rsidRDefault="00EB545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EF7382" w:rsidRDefault="00EB545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EF7382" w:rsidRDefault="00EB545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EF7382" w:rsidRDefault="00EB545F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0,85</w:t>
            </w:r>
          </w:p>
        </w:tc>
      </w:tr>
      <w:tr w:rsidR="00C93C17" w:rsidRPr="00EF7382" w:rsidTr="00A904A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F7382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EF7382">
              <w:t xml:space="preserve">Доля в общем объеме налоговых </w:t>
            </w:r>
          </w:p>
          <w:p w:rsidR="00C93C17" w:rsidRPr="00EF7382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EF7382">
              <w:t>и неналоговых доходов бюджета,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F7382" w:rsidRDefault="00C93C17" w:rsidP="00D07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  <w:r w:rsidR="00D078EB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EF7382" w:rsidRDefault="00D078EB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EF7382" w:rsidRDefault="00D078EB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EF7382" w:rsidRDefault="00D078EB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0,09</w:t>
            </w:r>
          </w:p>
        </w:tc>
      </w:tr>
      <w:tr w:rsidR="00C93C17" w:rsidRPr="00EF7382" w:rsidTr="00A904A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F7382" w:rsidRDefault="00C93C17" w:rsidP="00A904AC">
            <w:pPr>
              <w:widowControl w:val="0"/>
              <w:autoSpaceDE w:val="0"/>
              <w:autoSpaceDN w:val="0"/>
              <w:adjustRightInd w:val="0"/>
            </w:pPr>
            <w:r w:rsidRPr="00EF7382">
              <w:t>Прирост (снижение)</w:t>
            </w:r>
            <w:r w:rsidRPr="00EF7382">
              <w:br/>
              <w:t>к предыдущему году, 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F7382" w:rsidRDefault="00C93C17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382"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EF7382" w:rsidRDefault="00272186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EF7382" w:rsidRDefault="00272186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17" w:rsidRPr="00EF7382" w:rsidRDefault="00272186" w:rsidP="00A90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</w:tbl>
    <w:p w:rsidR="00C93C17" w:rsidRDefault="00C93C17" w:rsidP="00C93C17">
      <w:pPr>
        <w:ind w:firstLine="720"/>
        <w:jc w:val="both"/>
        <w:rPr>
          <w:sz w:val="28"/>
          <w:szCs w:val="28"/>
        </w:rPr>
      </w:pPr>
      <w:r w:rsidRPr="00EF7382">
        <w:rPr>
          <w:sz w:val="28"/>
          <w:szCs w:val="28"/>
        </w:rPr>
        <w:t>Поступления прочих неналоговых доходов</w:t>
      </w:r>
      <w:r w:rsidR="00272186">
        <w:rPr>
          <w:sz w:val="28"/>
          <w:szCs w:val="28"/>
        </w:rPr>
        <w:t xml:space="preserve"> (за выдачу ордеров на производство земляных работ</w:t>
      </w:r>
      <w:r w:rsidR="000D0206">
        <w:rPr>
          <w:sz w:val="28"/>
          <w:szCs w:val="28"/>
        </w:rPr>
        <w:t>, доходы от сдачи металлолома и др.</w:t>
      </w:r>
      <w:r w:rsidR="00272186">
        <w:rPr>
          <w:sz w:val="28"/>
          <w:szCs w:val="28"/>
        </w:rPr>
        <w:t>)</w:t>
      </w:r>
      <w:r w:rsidRPr="00EF7382">
        <w:rPr>
          <w:sz w:val="28"/>
          <w:szCs w:val="28"/>
        </w:rPr>
        <w:t xml:space="preserve"> на 2017–2019 годы прогнозируются в незначительных размерах по </w:t>
      </w:r>
      <w:r w:rsidR="00272186">
        <w:rPr>
          <w:sz w:val="28"/>
          <w:szCs w:val="28"/>
        </w:rPr>
        <w:t>600</w:t>
      </w:r>
      <w:r>
        <w:rPr>
          <w:sz w:val="28"/>
          <w:szCs w:val="28"/>
        </w:rPr>
        <w:t>,0</w:t>
      </w:r>
      <w:r w:rsidRPr="00EF7382">
        <w:rPr>
          <w:sz w:val="28"/>
          <w:szCs w:val="28"/>
        </w:rPr>
        <w:t>-</w:t>
      </w:r>
      <w:r w:rsidR="00272186">
        <w:rPr>
          <w:sz w:val="28"/>
          <w:szCs w:val="28"/>
        </w:rPr>
        <w:t>850</w:t>
      </w:r>
      <w:r>
        <w:rPr>
          <w:sz w:val="28"/>
          <w:szCs w:val="28"/>
        </w:rPr>
        <w:t>,0</w:t>
      </w:r>
      <w:r w:rsidR="00272186">
        <w:rPr>
          <w:sz w:val="28"/>
          <w:szCs w:val="28"/>
        </w:rPr>
        <w:t xml:space="preserve"> тыс. рублей в год</w:t>
      </w:r>
      <w:r w:rsidRPr="00EF7382">
        <w:rPr>
          <w:sz w:val="28"/>
          <w:szCs w:val="28"/>
        </w:rPr>
        <w:t>.</w:t>
      </w:r>
    </w:p>
    <w:p w:rsidR="00C93C17" w:rsidRPr="004E50C0" w:rsidRDefault="00C93C17" w:rsidP="00C93C17">
      <w:pPr>
        <w:ind w:firstLine="720"/>
        <w:jc w:val="both"/>
        <w:rPr>
          <w:sz w:val="28"/>
          <w:szCs w:val="28"/>
        </w:rPr>
      </w:pPr>
    </w:p>
    <w:p w:rsidR="00C93C17" w:rsidRPr="00280357" w:rsidRDefault="00C93C17" w:rsidP="00C93C17">
      <w:pPr>
        <w:shd w:val="clear" w:color="auto" w:fill="FFFFFF"/>
        <w:jc w:val="center"/>
        <w:rPr>
          <w:b/>
          <w:sz w:val="28"/>
          <w:szCs w:val="28"/>
        </w:rPr>
      </w:pPr>
      <w:r w:rsidRPr="00280357">
        <w:rPr>
          <w:b/>
          <w:sz w:val="28"/>
          <w:szCs w:val="28"/>
        </w:rPr>
        <w:t>Безвозмездные поступления</w:t>
      </w:r>
    </w:p>
    <w:p w:rsidR="00C93C17" w:rsidRPr="0023479F" w:rsidRDefault="00C93C17" w:rsidP="00C93C17">
      <w:pPr>
        <w:jc w:val="both"/>
        <w:rPr>
          <w:sz w:val="28"/>
          <w:szCs w:val="28"/>
          <w:highlight w:val="yellow"/>
        </w:rPr>
      </w:pPr>
    </w:p>
    <w:p w:rsidR="00C93C17" w:rsidRPr="00280357" w:rsidRDefault="00C93C17" w:rsidP="00C93C17">
      <w:pPr>
        <w:tabs>
          <w:tab w:val="left" w:pos="1134"/>
        </w:tabs>
        <w:ind w:firstLine="709"/>
        <w:jc w:val="both"/>
        <w:rPr>
          <w:sz w:val="28"/>
          <w:szCs w:val="20"/>
        </w:rPr>
      </w:pPr>
      <w:r w:rsidRPr="00280357">
        <w:rPr>
          <w:sz w:val="28"/>
          <w:szCs w:val="20"/>
        </w:rPr>
        <w:t xml:space="preserve">Общий объем безвозмездных поступлений в бюджет </w:t>
      </w:r>
      <w:r w:rsidR="007D586F">
        <w:rPr>
          <w:sz w:val="28"/>
          <w:szCs w:val="20"/>
        </w:rPr>
        <w:t xml:space="preserve">городского округа </w:t>
      </w:r>
      <w:r w:rsidRPr="00280357">
        <w:rPr>
          <w:sz w:val="28"/>
          <w:szCs w:val="20"/>
        </w:rPr>
        <w:t>характеризуется по годам следующими данными:</w:t>
      </w:r>
    </w:p>
    <w:p w:rsidR="00C93C17" w:rsidRPr="00280357" w:rsidRDefault="00C93C17" w:rsidP="00C93C17">
      <w:pPr>
        <w:tabs>
          <w:tab w:val="left" w:pos="1134"/>
        </w:tabs>
        <w:jc w:val="right"/>
      </w:pPr>
      <w:r w:rsidRPr="00280357">
        <w:t xml:space="preserve"> (млн. рублей)</w:t>
      </w:r>
    </w:p>
    <w:tbl>
      <w:tblPr>
        <w:tblW w:w="4911" w:type="pct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1138"/>
        <w:gridCol w:w="1111"/>
        <w:gridCol w:w="1138"/>
        <w:gridCol w:w="1111"/>
        <w:gridCol w:w="951"/>
        <w:gridCol w:w="1091"/>
      </w:tblGrid>
      <w:tr w:rsidR="00C93C17" w:rsidRPr="00280357" w:rsidTr="005D4C3C">
        <w:trPr>
          <w:cantSplit/>
          <w:tblHeader/>
          <w:jc w:val="center"/>
        </w:trPr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Наименование показателя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2016 год</w:t>
            </w:r>
          </w:p>
          <w:p w:rsidR="005D4C3C" w:rsidRPr="00F920E1" w:rsidRDefault="005D4C3C" w:rsidP="005D4C3C">
            <w:pPr>
              <w:jc w:val="center"/>
            </w:pPr>
            <w:r w:rsidRPr="00F920E1">
              <w:t xml:space="preserve">Решение </w:t>
            </w:r>
          </w:p>
          <w:p w:rsidR="00C93C17" w:rsidRPr="005D4C3C" w:rsidRDefault="005D4C3C" w:rsidP="005D4C3C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D4C3C">
              <w:rPr>
                <w:sz w:val="20"/>
                <w:szCs w:val="20"/>
              </w:rPr>
              <w:t>№ 3-42/01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2017 год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2018 год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2019 год</w:t>
            </w:r>
          </w:p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проект</w:t>
            </w:r>
          </w:p>
        </w:tc>
      </w:tr>
      <w:tr w:rsidR="00C93C17" w:rsidRPr="00280357" w:rsidTr="005D4C3C">
        <w:trPr>
          <w:cantSplit/>
          <w:tblHeader/>
          <w:jc w:val="center"/>
        </w:trPr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both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3C" w:rsidRPr="00F920E1" w:rsidRDefault="005D4C3C" w:rsidP="005D4C3C">
            <w:pPr>
              <w:jc w:val="center"/>
            </w:pPr>
            <w:r w:rsidRPr="00F920E1">
              <w:t xml:space="preserve">Решение </w:t>
            </w:r>
          </w:p>
          <w:p w:rsidR="00C93C17" w:rsidRPr="005D4C3C" w:rsidRDefault="005D4C3C" w:rsidP="005D4C3C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D4C3C">
              <w:rPr>
                <w:sz w:val="20"/>
                <w:szCs w:val="20"/>
              </w:rPr>
              <w:t>№ 3-42/01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проект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3C" w:rsidRPr="00F920E1" w:rsidRDefault="005D4C3C" w:rsidP="005D4C3C">
            <w:pPr>
              <w:jc w:val="center"/>
            </w:pPr>
            <w:r w:rsidRPr="00F920E1">
              <w:t xml:space="preserve">Решение </w:t>
            </w:r>
          </w:p>
          <w:p w:rsidR="00C93C17" w:rsidRPr="005D4C3C" w:rsidRDefault="005D4C3C" w:rsidP="005D4C3C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0"/>
              </w:rPr>
            </w:pPr>
            <w:r w:rsidRPr="005D4C3C">
              <w:rPr>
                <w:sz w:val="20"/>
                <w:szCs w:val="20"/>
              </w:rPr>
              <w:t>№ 3-42/01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проект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</w:p>
        </w:tc>
      </w:tr>
      <w:tr w:rsidR="00C93C17" w:rsidRPr="00280357" w:rsidTr="005D4C3C">
        <w:trPr>
          <w:cantSplit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280357" w:rsidRDefault="00C93C17" w:rsidP="00A904AC">
            <w:pPr>
              <w:tabs>
                <w:tab w:val="left" w:pos="1134"/>
              </w:tabs>
            </w:pPr>
            <w:r w:rsidRPr="00280357">
              <w:t>Общий объем безвозмездных поступлений, млн. рублей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5D4C3C" w:rsidP="00A904AC">
            <w:pPr>
              <w:tabs>
                <w:tab w:val="left" w:pos="1134"/>
              </w:tabs>
              <w:jc w:val="center"/>
            </w:pPr>
            <w:r>
              <w:t>1 172,2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5D4C3C" w:rsidP="00A904AC">
            <w:pPr>
              <w:tabs>
                <w:tab w:val="left" w:pos="1134"/>
              </w:tabs>
              <w:jc w:val="center"/>
            </w:pPr>
            <w:r>
              <w:t>1 128,9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5D4C3C" w:rsidP="00A904AC">
            <w:pPr>
              <w:tabs>
                <w:tab w:val="left" w:pos="1134"/>
              </w:tabs>
              <w:jc w:val="center"/>
            </w:pPr>
            <w:r>
              <w:t>1 252,2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5D4C3C" w:rsidP="00A904AC">
            <w:pPr>
              <w:tabs>
                <w:tab w:val="left" w:pos="1134"/>
              </w:tabs>
              <w:jc w:val="center"/>
            </w:pPr>
            <w:r>
              <w:t>1 119 8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5D4C3C" w:rsidP="00A904AC">
            <w:pPr>
              <w:tabs>
                <w:tab w:val="left" w:pos="1134"/>
              </w:tabs>
              <w:jc w:val="center"/>
            </w:pPr>
            <w:r>
              <w:t>1 167,8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5D4C3C" w:rsidP="00A904AC">
            <w:pPr>
              <w:tabs>
                <w:tab w:val="left" w:pos="1134"/>
              </w:tabs>
              <w:jc w:val="center"/>
            </w:pPr>
            <w:r>
              <w:t>1</w:t>
            </w:r>
            <w:r w:rsidR="00A04531">
              <w:t> </w:t>
            </w:r>
            <w:r>
              <w:t>165</w:t>
            </w:r>
            <w:r w:rsidR="00A04531">
              <w:t>,</w:t>
            </w:r>
            <w:r>
              <w:t xml:space="preserve"> 5</w:t>
            </w:r>
          </w:p>
        </w:tc>
      </w:tr>
      <w:tr w:rsidR="00C93C17" w:rsidRPr="00280357" w:rsidTr="005D4C3C">
        <w:trPr>
          <w:cantSplit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280357" w:rsidRDefault="00C93C17" w:rsidP="00A904AC">
            <w:pPr>
              <w:tabs>
                <w:tab w:val="left" w:pos="1134"/>
              </w:tabs>
            </w:pPr>
            <w:r w:rsidRPr="00280357">
              <w:t>Доля общего объема безвозмездных поступлений в общем объеме доходов, %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7D586F" w:rsidP="00A904AC">
            <w:pPr>
              <w:tabs>
                <w:tab w:val="left" w:pos="1134"/>
              </w:tabs>
              <w:jc w:val="center"/>
            </w:pPr>
            <w:r>
              <w:t>57,5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7D586F" w:rsidP="00A904AC">
            <w:pPr>
              <w:tabs>
                <w:tab w:val="left" w:pos="1134"/>
              </w:tabs>
              <w:jc w:val="center"/>
            </w:pPr>
            <w:r>
              <w:t>57,0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6B0CCA" w:rsidRDefault="007D586F" w:rsidP="00A904AC">
            <w:pPr>
              <w:tabs>
                <w:tab w:val="left" w:pos="1134"/>
              </w:tabs>
              <w:jc w:val="center"/>
            </w:pPr>
            <w:r>
              <w:t>58,6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7D586F" w:rsidP="00A904AC">
            <w:pPr>
              <w:tabs>
                <w:tab w:val="left" w:pos="1134"/>
              </w:tabs>
              <w:jc w:val="center"/>
            </w:pPr>
            <w:r>
              <w:t>56,1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7D586F" w:rsidP="00A904AC">
            <w:pPr>
              <w:tabs>
                <w:tab w:val="left" w:pos="1134"/>
              </w:tabs>
              <w:jc w:val="center"/>
            </w:pPr>
            <w:r>
              <w:t>55,9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C00011" w:rsidP="00A904AC">
            <w:pPr>
              <w:tabs>
                <w:tab w:val="left" w:pos="1134"/>
              </w:tabs>
              <w:jc w:val="center"/>
            </w:pPr>
            <w:r>
              <w:t>55,0</w:t>
            </w:r>
          </w:p>
        </w:tc>
      </w:tr>
      <w:tr w:rsidR="00C93C17" w:rsidRPr="00280357" w:rsidTr="005D4C3C">
        <w:trPr>
          <w:cantSplit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280357" w:rsidRDefault="00C93C17" w:rsidP="00A904AC">
            <w:pPr>
              <w:tabs>
                <w:tab w:val="left" w:pos="1134"/>
              </w:tabs>
            </w:pPr>
            <w:r w:rsidRPr="00280357">
              <w:t xml:space="preserve">Прирост (снижение) </w:t>
            </w:r>
            <w:r w:rsidRPr="00280357">
              <w:br/>
              <w:t xml:space="preserve">к предыдущему году, </w:t>
            </w:r>
          </w:p>
          <w:p w:rsidR="00C93C17" w:rsidRPr="00280357" w:rsidRDefault="00C93C17" w:rsidP="00A904AC">
            <w:pPr>
              <w:tabs>
                <w:tab w:val="left" w:pos="1134"/>
              </w:tabs>
            </w:pPr>
            <w:r w:rsidRPr="00280357">
              <w:t>млн. рублей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356E60" w:rsidP="00A904AC">
            <w:pPr>
              <w:tabs>
                <w:tab w:val="left" w:pos="1134"/>
              </w:tabs>
              <w:jc w:val="center"/>
            </w:pPr>
            <w:r>
              <w:t>80,0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7D586F" w:rsidP="00A904AC">
            <w:pPr>
              <w:tabs>
                <w:tab w:val="left" w:pos="1134"/>
              </w:tabs>
              <w:jc w:val="center"/>
            </w:pPr>
            <w:r>
              <w:t>-84,4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-</w:t>
            </w:r>
            <w:r w:rsidR="007D586F">
              <w:t>2,3</w:t>
            </w:r>
          </w:p>
        </w:tc>
      </w:tr>
      <w:tr w:rsidR="00C93C17" w:rsidRPr="00280357" w:rsidTr="005D4C3C">
        <w:trPr>
          <w:cantSplit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7" w:rsidRPr="00280357" w:rsidRDefault="00C93C17" w:rsidP="00A904AC">
            <w:pPr>
              <w:tabs>
                <w:tab w:val="left" w:pos="1134"/>
              </w:tabs>
            </w:pPr>
            <w:r w:rsidRPr="00280357">
              <w:lastRenderedPageBreak/>
              <w:t>Темп прироста (снижения)</w:t>
            </w:r>
          </w:p>
          <w:p w:rsidR="00C93C17" w:rsidRPr="00280357" w:rsidRDefault="00C93C17" w:rsidP="00A904AC">
            <w:pPr>
              <w:tabs>
                <w:tab w:val="left" w:pos="1134"/>
              </w:tabs>
            </w:pPr>
            <w:r w:rsidRPr="00280357">
              <w:t>к предыдущему году, %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7D586F" w:rsidP="00A904AC">
            <w:pPr>
              <w:tabs>
                <w:tab w:val="left" w:pos="1134"/>
              </w:tabs>
              <w:jc w:val="center"/>
            </w:pPr>
            <w:r>
              <w:t>6,8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356E60" w:rsidP="00A904AC">
            <w:pPr>
              <w:tabs>
                <w:tab w:val="left" w:pos="1134"/>
              </w:tabs>
              <w:jc w:val="center"/>
            </w:pPr>
            <w:r>
              <w:t>-6,7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17" w:rsidRPr="00280357" w:rsidRDefault="00C93C17" w:rsidP="00A904AC">
            <w:pPr>
              <w:tabs>
                <w:tab w:val="left" w:pos="1134"/>
              </w:tabs>
              <w:jc w:val="center"/>
            </w:pPr>
            <w:r w:rsidRPr="00280357">
              <w:t>-</w:t>
            </w:r>
            <w:r w:rsidR="007D586F">
              <w:t>0,2</w:t>
            </w:r>
          </w:p>
        </w:tc>
      </w:tr>
    </w:tbl>
    <w:p w:rsidR="002D1B38" w:rsidRDefault="00C93C17" w:rsidP="00C93C17">
      <w:pPr>
        <w:ind w:firstLine="708"/>
        <w:jc w:val="both"/>
        <w:rPr>
          <w:rFonts w:eastAsia="Calibri"/>
          <w:sz w:val="28"/>
          <w:szCs w:val="28"/>
        </w:rPr>
      </w:pPr>
      <w:r w:rsidRPr="00280357">
        <w:rPr>
          <w:rFonts w:eastAsia="Calibri"/>
          <w:sz w:val="28"/>
          <w:szCs w:val="28"/>
        </w:rPr>
        <w:t xml:space="preserve">Прогнозный объем безвозмездных поступлений в бюджет </w:t>
      </w:r>
      <w:r w:rsidRPr="00280357">
        <w:rPr>
          <w:rFonts w:eastAsia="Calibri"/>
          <w:sz w:val="28"/>
          <w:szCs w:val="28"/>
        </w:rPr>
        <w:br/>
      </w:r>
      <w:r w:rsidR="007D586F">
        <w:rPr>
          <w:rFonts w:eastAsia="Calibri"/>
          <w:sz w:val="28"/>
          <w:szCs w:val="28"/>
        </w:rPr>
        <w:t>городского округа</w:t>
      </w:r>
      <w:r w:rsidR="00310C15">
        <w:rPr>
          <w:rFonts w:eastAsia="Calibri"/>
          <w:sz w:val="28"/>
          <w:szCs w:val="28"/>
        </w:rPr>
        <w:t xml:space="preserve"> из вышестоящего бюджета </w:t>
      </w:r>
      <w:r w:rsidRPr="00280357">
        <w:rPr>
          <w:rFonts w:eastAsia="Calibri"/>
          <w:sz w:val="28"/>
          <w:szCs w:val="28"/>
        </w:rPr>
        <w:t xml:space="preserve">на 2017–2019 годы планируется </w:t>
      </w:r>
      <w:r w:rsidR="007D586F">
        <w:rPr>
          <w:rFonts w:eastAsia="Calibri"/>
          <w:sz w:val="28"/>
          <w:szCs w:val="28"/>
        </w:rPr>
        <w:t>с ростом</w:t>
      </w:r>
      <w:r w:rsidRPr="00280357">
        <w:rPr>
          <w:rFonts w:eastAsia="Calibri"/>
          <w:sz w:val="28"/>
          <w:szCs w:val="28"/>
        </w:rPr>
        <w:t xml:space="preserve"> в 2017 году по сравнению с утвержденным планом на 2016 год в су</w:t>
      </w:r>
      <w:r w:rsidR="00310C15">
        <w:rPr>
          <w:rFonts w:eastAsia="Calibri"/>
          <w:sz w:val="28"/>
          <w:szCs w:val="28"/>
        </w:rPr>
        <w:t xml:space="preserve">мме </w:t>
      </w:r>
      <w:r w:rsidR="008E7B68">
        <w:rPr>
          <w:rFonts w:eastAsia="Calibri"/>
          <w:sz w:val="28"/>
          <w:szCs w:val="28"/>
        </w:rPr>
        <w:t>80,0</w:t>
      </w:r>
      <w:r w:rsidR="002D1B38">
        <w:rPr>
          <w:rFonts w:eastAsia="Calibri"/>
          <w:sz w:val="28"/>
          <w:szCs w:val="28"/>
        </w:rPr>
        <w:t xml:space="preserve"> млн. рублей</w:t>
      </w:r>
      <w:r>
        <w:rPr>
          <w:rFonts w:eastAsia="Calibri"/>
          <w:sz w:val="28"/>
          <w:szCs w:val="28"/>
        </w:rPr>
        <w:t>,</w:t>
      </w:r>
      <w:r w:rsidRPr="00280357">
        <w:rPr>
          <w:rFonts w:eastAsia="Calibri"/>
          <w:sz w:val="28"/>
          <w:szCs w:val="28"/>
        </w:rPr>
        <w:t xml:space="preserve"> в 2018 году по с</w:t>
      </w:r>
      <w:r w:rsidR="00310C15">
        <w:rPr>
          <w:rFonts w:eastAsia="Calibri"/>
          <w:sz w:val="28"/>
          <w:szCs w:val="28"/>
        </w:rPr>
        <w:t>равнению с проектом на 2017 год</w:t>
      </w:r>
      <w:r w:rsidR="002D1B38">
        <w:rPr>
          <w:rFonts w:eastAsia="Calibri"/>
          <w:sz w:val="28"/>
          <w:szCs w:val="28"/>
        </w:rPr>
        <w:t xml:space="preserve"> снижение</w:t>
      </w:r>
      <w:r w:rsidRPr="00280357">
        <w:rPr>
          <w:rFonts w:eastAsia="Calibri"/>
          <w:sz w:val="28"/>
          <w:szCs w:val="28"/>
        </w:rPr>
        <w:t xml:space="preserve"> </w:t>
      </w:r>
      <w:r w:rsidR="002D1B38">
        <w:rPr>
          <w:rFonts w:eastAsia="Calibri"/>
          <w:sz w:val="28"/>
          <w:szCs w:val="28"/>
        </w:rPr>
        <w:t>на 84,4</w:t>
      </w:r>
      <w:r w:rsidRPr="00280357">
        <w:rPr>
          <w:rFonts w:eastAsia="Calibri"/>
          <w:sz w:val="28"/>
          <w:szCs w:val="28"/>
        </w:rPr>
        <w:t xml:space="preserve"> млн. рублей</w:t>
      </w:r>
      <w:r w:rsidR="00310C15">
        <w:rPr>
          <w:rFonts w:eastAsia="Calibri"/>
          <w:sz w:val="28"/>
          <w:szCs w:val="28"/>
        </w:rPr>
        <w:t xml:space="preserve"> и в 2019 году по сравнению с 2018 годом прогнозируется незначительное снижение на 2,3 млн. рублей</w:t>
      </w:r>
      <w:r w:rsidR="00414283">
        <w:rPr>
          <w:rFonts w:eastAsia="Calibri"/>
          <w:sz w:val="28"/>
          <w:szCs w:val="28"/>
        </w:rPr>
        <w:t>, из них:</w:t>
      </w:r>
    </w:p>
    <w:p w:rsidR="00C93C17" w:rsidRPr="00280357" w:rsidRDefault="00414283" w:rsidP="00C93C1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93C17" w:rsidRPr="002803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дотации</w:t>
      </w:r>
      <w:r w:rsidR="00C93C17" w:rsidRPr="00280357">
        <w:rPr>
          <w:rFonts w:eastAsia="Calibri"/>
          <w:sz w:val="28"/>
          <w:szCs w:val="28"/>
        </w:rPr>
        <w:t xml:space="preserve"> на 2017–2019 годы прогнозируется в виде дотации на выравнивание расчетной бюджетной обеспеченности </w:t>
      </w:r>
      <w:r>
        <w:rPr>
          <w:rFonts w:eastAsia="Calibri"/>
          <w:sz w:val="28"/>
          <w:szCs w:val="28"/>
        </w:rPr>
        <w:t>городского округа</w:t>
      </w:r>
      <w:r w:rsidR="00C93C17" w:rsidRPr="00280357">
        <w:rPr>
          <w:rFonts w:eastAsia="Calibri"/>
          <w:sz w:val="28"/>
          <w:szCs w:val="28"/>
        </w:rPr>
        <w:t xml:space="preserve"> в 2017 году – </w:t>
      </w:r>
      <w:r>
        <w:rPr>
          <w:rFonts w:eastAsia="Calibri"/>
          <w:sz w:val="28"/>
          <w:szCs w:val="28"/>
        </w:rPr>
        <w:t>100,9</w:t>
      </w:r>
      <w:r w:rsidR="00C93C17" w:rsidRPr="00280357">
        <w:rPr>
          <w:rFonts w:eastAsia="Calibri"/>
          <w:sz w:val="28"/>
          <w:szCs w:val="28"/>
        </w:rPr>
        <w:t xml:space="preserve"> млн. рублей, в 2018 году – </w:t>
      </w:r>
      <w:r>
        <w:rPr>
          <w:rFonts w:eastAsia="Calibri"/>
          <w:sz w:val="28"/>
          <w:szCs w:val="28"/>
        </w:rPr>
        <w:t xml:space="preserve">86,7 млн. рублей, </w:t>
      </w:r>
      <w:r w:rsidR="00C93C17" w:rsidRPr="00280357">
        <w:rPr>
          <w:rFonts w:eastAsia="Calibri"/>
          <w:sz w:val="28"/>
          <w:szCs w:val="28"/>
        </w:rPr>
        <w:t xml:space="preserve">в 2019 году – </w:t>
      </w:r>
      <w:r>
        <w:rPr>
          <w:rFonts w:eastAsia="Calibri"/>
          <w:sz w:val="28"/>
          <w:szCs w:val="28"/>
        </w:rPr>
        <w:t xml:space="preserve">79,9 млн. рублей и на поддержку мер по обеспечению сбалансированности бюджета городского округа </w:t>
      </w:r>
      <w:r w:rsidRPr="00280357">
        <w:rPr>
          <w:rFonts w:eastAsia="Calibri"/>
          <w:sz w:val="28"/>
          <w:szCs w:val="28"/>
        </w:rPr>
        <w:t xml:space="preserve">2017 году – </w:t>
      </w:r>
      <w:r>
        <w:rPr>
          <w:rFonts w:eastAsia="Calibri"/>
          <w:sz w:val="28"/>
          <w:szCs w:val="28"/>
        </w:rPr>
        <w:t>76,7</w:t>
      </w:r>
      <w:r w:rsidRPr="00280357">
        <w:rPr>
          <w:rFonts w:eastAsia="Calibri"/>
          <w:sz w:val="28"/>
          <w:szCs w:val="28"/>
        </w:rPr>
        <w:t xml:space="preserve"> млн. рублей, в 2018 году – </w:t>
      </w:r>
      <w:r>
        <w:rPr>
          <w:rFonts w:eastAsia="Calibri"/>
          <w:sz w:val="28"/>
          <w:szCs w:val="28"/>
        </w:rPr>
        <w:t xml:space="preserve">22,4 млн. рублей, </w:t>
      </w:r>
      <w:r w:rsidRPr="00280357">
        <w:rPr>
          <w:rFonts w:eastAsia="Calibri"/>
          <w:sz w:val="28"/>
          <w:szCs w:val="28"/>
        </w:rPr>
        <w:t xml:space="preserve">в 2019 году – </w:t>
      </w:r>
      <w:r>
        <w:rPr>
          <w:rFonts w:eastAsia="Calibri"/>
          <w:sz w:val="28"/>
          <w:szCs w:val="28"/>
        </w:rPr>
        <w:t>23,6 млн. рублей;</w:t>
      </w:r>
    </w:p>
    <w:p w:rsidR="00414283" w:rsidRDefault="00414283" w:rsidP="00C93C1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2803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субсидии</w:t>
      </w:r>
      <w:r w:rsidRPr="00280357">
        <w:rPr>
          <w:rFonts w:eastAsia="Calibri"/>
          <w:sz w:val="28"/>
          <w:szCs w:val="28"/>
        </w:rPr>
        <w:t xml:space="preserve"> на 2017–2019 годы прогнозируется</w:t>
      </w:r>
      <w:r>
        <w:rPr>
          <w:rFonts w:eastAsia="Calibri"/>
          <w:sz w:val="28"/>
          <w:szCs w:val="28"/>
        </w:rPr>
        <w:t xml:space="preserve"> </w:t>
      </w:r>
      <w:r w:rsidR="009A4513">
        <w:rPr>
          <w:rFonts w:eastAsia="Calibri"/>
          <w:sz w:val="28"/>
          <w:szCs w:val="28"/>
        </w:rPr>
        <w:t>на 2017 год</w:t>
      </w:r>
      <w:r w:rsidRPr="0028035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113,3</w:t>
      </w:r>
      <w:r w:rsidRPr="00280357">
        <w:rPr>
          <w:rFonts w:eastAsia="Calibri"/>
          <w:sz w:val="28"/>
          <w:szCs w:val="28"/>
        </w:rPr>
        <w:t xml:space="preserve"> млн. рублей, </w:t>
      </w:r>
      <w:r w:rsidR="009A4513">
        <w:rPr>
          <w:rFonts w:eastAsia="Calibri"/>
          <w:sz w:val="28"/>
          <w:szCs w:val="28"/>
        </w:rPr>
        <w:t>на 2018 год</w:t>
      </w:r>
      <w:r w:rsidRPr="0028035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89,3 млн. рублей, </w:t>
      </w:r>
      <w:r w:rsidR="009A4513">
        <w:rPr>
          <w:rFonts w:eastAsia="Calibri"/>
          <w:sz w:val="28"/>
          <w:szCs w:val="28"/>
        </w:rPr>
        <w:t>на 2019 год</w:t>
      </w:r>
      <w:r w:rsidRPr="0028035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92,3 млн. рублей;</w:t>
      </w:r>
    </w:p>
    <w:p w:rsidR="00B128C5" w:rsidRDefault="00414283" w:rsidP="003B759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Pr="004142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субвенции на </w:t>
      </w:r>
      <w:r w:rsidR="009A4513">
        <w:rPr>
          <w:rFonts w:eastAsia="Calibri"/>
          <w:sz w:val="28"/>
          <w:szCs w:val="28"/>
        </w:rPr>
        <w:t>2017 год</w:t>
      </w:r>
      <w:r w:rsidRPr="0028035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961,3</w:t>
      </w:r>
      <w:r w:rsidRPr="00280357">
        <w:rPr>
          <w:rFonts w:eastAsia="Calibri"/>
          <w:sz w:val="28"/>
          <w:szCs w:val="28"/>
        </w:rPr>
        <w:t xml:space="preserve"> млн. рублей, </w:t>
      </w:r>
      <w:r w:rsidR="009A4513">
        <w:rPr>
          <w:rFonts w:eastAsia="Calibri"/>
          <w:sz w:val="28"/>
          <w:szCs w:val="28"/>
        </w:rPr>
        <w:t>на</w:t>
      </w:r>
      <w:r w:rsidRPr="00280357">
        <w:rPr>
          <w:rFonts w:eastAsia="Calibri"/>
          <w:sz w:val="28"/>
          <w:szCs w:val="28"/>
        </w:rPr>
        <w:t xml:space="preserve"> 2018 год – </w:t>
      </w:r>
      <w:r>
        <w:rPr>
          <w:rFonts w:eastAsia="Calibri"/>
          <w:sz w:val="28"/>
          <w:szCs w:val="28"/>
        </w:rPr>
        <w:t xml:space="preserve">969,3 млн. рублей, </w:t>
      </w:r>
      <w:r w:rsidR="009A4513">
        <w:rPr>
          <w:rFonts w:eastAsia="Calibri"/>
          <w:sz w:val="28"/>
          <w:szCs w:val="28"/>
        </w:rPr>
        <w:t>на 2019 год</w:t>
      </w:r>
      <w:r w:rsidRPr="0028035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969,8 млн. рублей.</w:t>
      </w:r>
    </w:p>
    <w:p w:rsidR="00C938F9" w:rsidRDefault="00C938F9" w:rsidP="003B7592">
      <w:pPr>
        <w:ind w:firstLine="708"/>
        <w:jc w:val="both"/>
        <w:rPr>
          <w:rFonts w:eastAsia="Calibri"/>
          <w:sz w:val="28"/>
          <w:szCs w:val="28"/>
        </w:rPr>
      </w:pPr>
    </w:p>
    <w:p w:rsidR="00C938F9" w:rsidRPr="0094266B" w:rsidRDefault="00C938F9" w:rsidP="00C938F9">
      <w:pPr>
        <w:jc w:val="center"/>
        <w:rPr>
          <w:b/>
          <w:sz w:val="28"/>
          <w:szCs w:val="28"/>
        </w:rPr>
      </w:pPr>
      <w:r w:rsidRPr="0094266B">
        <w:rPr>
          <w:b/>
          <w:sz w:val="28"/>
          <w:szCs w:val="28"/>
        </w:rPr>
        <w:t xml:space="preserve">Основная характеристика расходов бюджета </w:t>
      </w:r>
    </w:p>
    <w:p w:rsidR="00C938F9" w:rsidRPr="0094266B" w:rsidRDefault="00C938F9" w:rsidP="00C938F9">
      <w:pPr>
        <w:jc w:val="center"/>
        <w:rPr>
          <w:b/>
          <w:sz w:val="28"/>
          <w:szCs w:val="28"/>
        </w:rPr>
      </w:pPr>
      <w:r w:rsidRPr="0094266B">
        <w:rPr>
          <w:b/>
          <w:sz w:val="28"/>
          <w:szCs w:val="28"/>
        </w:rPr>
        <w:t>городского округа город Нефтекамск Республики Башкортостан</w:t>
      </w:r>
    </w:p>
    <w:p w:rsidR="00C938F9" w:rsidRPr="0094266B" w:rsidRDefault="00C938F9" w:rsidP="00C938F9">
      <w:pPr>
        <w:jc w:val="center"/>
        <w:rPr>
          <w:sz w:val="28"/>
          <w:szCs w:val="28"/>
        </w:rPr>
      </w:pPr>
    </w:p>
    <w:p w:rsidR="00C938F9" w:rsidRPr="00E67452" w:rsidRDefault="00C938F9" w:rsidP="00C938F9">
      <w:pPr>
        <w:ind w:firstLine="720"/>
        <w:jc w:val="both"/>
        <w:rPr>
          <w:bCs/>
          <w:spacing w:val="4"/>
          <w:sz w:val="28"/>
          <w:szCs w:val="28"/>
        </w:rPr>
      </w:pPr>
      <w:r w:rsidRPr="00E67452">
        <w:rPr>
          <w:bCs/>
          <w:spacing w:val="4"/>
          <w:sz w:val="28"/>
          <w:szCs w:val="28"/>
        </w:rPr>
        <w:t xml:space="preserve">В соответствии с основными направлениями бюджетной политики </w:t>
      </w:r>
      <w:r w:rsidRPr="00E67452">
        <w:rPr>
          <w:sz w:val="28"/>
          <w:szCs w:val="28"/>
        </w:rPr>
        <w:t>городского округа город Нефтекамск</w:t>
      </w:r>
      <w:r w:rsidRPr="00E67452">
        <w:rPr>
          <w:bCs/>
          <w:spacing w:val="4"/>
          <w:sz w:val="28"/>
          <w:szCs w:val="28"/>
        </w:rPr>
        <w:t xml:space="preserve"> Республики Башкортостан на предстоящий бюджетный период основным приоритетным условием формирования расходной части бюджета городского округа на 2017 год и на плановый период</w:t>
      </w:r>
      <w:r>
        <w:rPr>
          <w:bCs/>
          <w:spacing w:val="4"/>
          <w:sz w:val="28"/>
          <w:szCs w:val="28"/>
        </w:rPr>
        <w:t xml:space="preserve"> </w:t>
      </w:r>
      <w:r w:rsidRPr="00E67452">
        <w:rPr>
          <w:bCs/>
          <w:spacing w:val="4"/>
          <w:sz w:val="28"/>
          <w:szCs w:val="28"/>
        </w:rPr>
        <w:t xml:space="preserve">2018 и 2019 годов является </w:t>
      </w:r>
      <w:r w:rsidRPr="00E67452">
        <w:rPr>
          <w:sz w:val="28"/>
          <w:szCs w:val="28"/>
        </w:rPr>
        <w:t>мобилизация внутренних источников</w:t>
      </w:r>
      <w:r w:rsidRPr="00E67452">
        <w:rPr>
          <w:bCs/>
          <w:spacing w:val="4"/>
          <w:sz w:val="28"/>
          <w:szCs w:val="28"/>
        </w:rPr>
        <w:t xml:space="preserve"> на сбалансированное распределение бюджетных ресурсов</w:t>
      </w:r>
      <w:r w:rsidRPr="00E67452">
        <w:rPr>
          <w:sz w:val="28"/>
          <w:szCs w:val="28"/>
        </w:rPr>
        <w:t xml:space="preserve"> и исполнение принятых расходных обязательств наиболее эффективным способом</w:t>
      </w:r>
      <w:r w:rsidRPr="00E67452">
        <w:rPr>
          <w:bCs/>
          <w:spacing w:val="4"/>
          <w:sz w:val="28"/>
          <w:szCs w:val="28"/>
        </w:rPr>
        <w:t xml:space="preserve">. </w:t>
      </w:r>
    </w:p>
    <w:p w:rsidR="00C938F9" w:rsidRPr="008B7850" w:rsidRDefault="00C938F9" w:rsidP="00C938F9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8B7850">
        <w:rPr>
          <w:spacing w:val="4"/>
          <w:sz w:val="28"/>
          <w:szCs w:val="28"/>
        </w:rPr>
        <w:t xml:space="preserve">Расходные параметры проекта бюджета городского округа на 2017 год и на плановый период 2018 и 2019 годов, сформированы по «программной» структуре </w:t>
      </w:r>
      <w:r w:rsidR="00FF0591">
        <w:rPr>
          <w:spacing w:val="4"/>
          <w:sz w:val="28"/>
          <w:szCs w:val="28"/>
        </w:rPr>
        <w:t>(на 95,</w:t>
      </w:r>
      <w:r w:rsidR="00A47045">
        <w:rPr>
          <w:spacing w:val="4"/>
          <w:sz w:val="28"/>
          <w:szCs w:val="28"/>
        </w:rPr>
        <w:t>7</w:t>
      </w:r>
      <w:r w:rsidR="00FF0591">
        <w:rPr>
          <w:spacing w:val="4"/>
          <w:sz w:val="28"/>
          <w:szCs w:val="28"/>
        </w:rPr>
        <w:t xml:space="preserve"> процентов) </w:t>
      </w:r>
      <w:r w:rsidRPr="008B7850">
        <w:rPr>
          <w:spacing w:val="4"/>
          <w:sz w:val="28"/>
          <w:szCs w:val="28"/>
        </w:rPr>
        <w:t>и определены исходя из оценки доходов бюджета городского округа до 2019 года включительно.</w:t>
      </w:r>
    </w:p>
    <w:p w:rsidR="00C938F9" w:rsidRPr="008B7850" w:rsidRDefault="00C938F9" w:rsidP="00C9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574A">
        <w:rPr>
          <w:sz w:val="28"/>
          <w:szCs w:val="28"/>
        </w:rPr>
        <w:t xml:space="preserve">бъем расходной части бюджета городского округа город Нефтекамск Республики Башкортостан </w:t>
      </w:r>
      <w:r>
        <w:rPr>
          <w:sz w:val="28"/>
          <w:szCs w:val="28"/>
        </w:rPr>
        <w:t>на 2017 год прогнозируется</w:t>
      </w:r>
      <w:r w:rsidRPr="007F574A">
        <w:rPr>
          <w:sz w:val="28"/>
          <w:szCs w:val="28"/>
        </w:rPr>
        <w:t xml:space="preserve"> в сумме</w:t>
      </w:r>
      <w:r w:rsidRPr="0094266B">
        <w:rPr>
          <w:color w:val="FF0000"/>
          <w:sz w:val="28"/>
          <w:szCs w:val="28"/>
        </w:rPr>
        <w:t xml:space="preserve"> </w:t>
      </w:r>
      <w:r w:rsidRPr="008B7850">
        <w:rPr>
          <w:sz w:val="28"/>
          <w:szCs w:val="28"/>
        </w:rPr>
        <w:t>2</w:t>
      </w:r>
      <w:r w:rsidR="004A5293">
        <w:rPr>
          <w:sz w:val="28"/>
          <w:szCs w:val="28"/>
        </w:rPr>
        <w:t xml:space="preserve"> </w:t>
      </w:r>
      <w:r w:rsidRPr="008B7850">
        <w:rPr>
          <w:sz w:val="28"/>
          <w:szCs w:val="28"/>
        </w:rPr>
        <w:t>18</w:t>
      </w:r>
      <w:r w:rsidR="00A47045">
        <w:rPr>
          <w:sz w:val="28"/>
          <w:szCs w:val="28"/>
        </w:rPr>
        <w:t>8</w:t>
      </w:r>
      <w:r w:rsidRPr="008B7850">
        <w:rPr>
          <w:sz w:val="28"/>
          <w:szCs w:val="28"/>
        </w:rPr>
        <w:t>,6 млн. рублей, что на 8</w:t>
      </w:r>
      <w:r w:rsidR="00A47045">
        <w:rPr>
          <w:sz w:val="28"/>
          <w:szCs w:val="28"/>
        </w:rPr>
        <w:t>3</w:t>
      </w:r>
      <w:r w:rsidRPr="008B7850">
        <w:rPr>
          <w:sz w:val="28"/>
          <w:szCs w:val="28"/>
        </w:rPr>
        <w:t>,6 млн. рублей или на 4,</w:t>
      </w:r>
      <w:r w:rsidR="00A47045">
        <w:rPr>
          <w:sz w:val="28"/>
          <w:szCs w:val="28"/>
        </w:rPr>
        <w:t>5</w:t>
      </w:r>
      <w:r w:rsidRPr="008B7850">
        <w:rPr>
          <w:sz w:val="28"/>
          <w:szCs w:val="28"/>
        </w:rPr>
        <w:t xml:space="preserve"> </w:t>
      </w:r>
      <w:r w:rsidRPr="002E7A0C">
        <w:rPr>
          <w:bCs/>
          <w:sz w:val="28"/>
          <w:szCs w:val="28"/>
        </w:rPr>
        <w:t>процента</w:t>
      </w:r>
      <w:r w:rsidRPr="008B7850">
        <w:rPr>
          <w:sz w:val="28"/>
          <w:szCs w:val="28"/>
        </w:rPr>
        <w:t xml:space="preserve"> выше </w:t>
      </w:r>
      <w:r w:rsidR="007731E0">
        <w:rPr>
          <w:sz w:val="28"/>
          <w:szCs w:val="28"/>
        </w:rPr>
        <w:t xml:space="preserve">утвержденного </w:t>
      </w:r>
      <w:r w:rsidRPr="008B7850">
        <w:rPr>
          <w:sz w:val="28"/>
          <w:szCs w:val="28"/>
        </w:rPr>
        <w:t xml:space="preserve">уровня 2016 года. </w:t>
      </w:r>
    </w:p>
    <w:p w:rsidR="00C938F9" w:rsidRPr="00AF65BF" w:rsidRDefault="00C938F9" w:rsidP="00C938F9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F574A">
        <w:rPr>
          <w:sz w:val="28"/>
          <w:szCs w:val="28"/>
        </w:rPr>
        <w:t>За счет средств бюджета городского округа город Нефтекамск Республики Башкортостан планируется финансирование</w:t>
      </w:r>
      <w:r w:rsidRPr="0094266B">
        <w:rPr>
          <w:color w:val="FF0000"/>
          <w:sz w:val="28"/>
          <w:szCs w:val="28"/>
        </w:rPr>
        <w:t xml:space="preserve"> </w:t>
      </w:r>
      <w:r w:rsidRPr="00AF65BF">
        <w:rPr>
          <w:sz w:val="28"/>
          <w:szCs w:val="28"/>
        </w:rPr>
        <w:t xml:space="preserve">77 учреждений, из </w:t>
      </w:r>
      <w:r w:rsidRPr="00AF65BF">
        <w:rPr>
          <w:sz w:val="28"/>
          <w:szCs w:val="28"/>
        </w:rPr>
        <w:lastRenderedPageBreak/>
        <w:t>которых 4 органа местного самоуправления, 2 казенных, 41 бюджетных, 30 автономных учреждений.</w:t>
      </w:r>
      <w:r w:rsidRPr="00AF65BF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:rsidR="00C938F9" w:rsidRPr="0045485F" w:rsidRDefault="00C938F9" w:rsidP="00C938F9">
      <w:pPr>
        <w:ind w:firstLine="709"/>
        <w:jc w:val="both"/>
        <w:rPr>
          <w:sz w:val="28"/>
          <w:szCs w:val="28"/>
        </w:rPr>
      </w:pPr>
      <w:r w:rsidRPr="0045485F">
        <w:rPr>
          <w:sz w:val="28"/>
          <w:szCs w:val="28"/>
        </w:rPr>
        <w:t>Характеризуя отраслевую структуру бюджета городского округа будущего года, можно сказать, что, как и прежде, бюджет сохраняет выраженную социальную направленность.</w:t>
      </w:r>
    </w:p>
    <w:p w:rsidR="00C938F9" w:rsidRPr="003B7A37" w:rsidRDefault="00C938F9" w:rsidP="00C938F9">
      <w:pPr>
        <w:ind w:firstLine="709"/>
        <w:jc w:val="both"/>
        <w:rPr>
          <w:sz w:val="28"/>
          <w:szCs w:val="28"/>
        </w:rPr>
      </w:pPr>
      <w:r w:rsidRPr="007F574A">
        <w:rPr>
          <w:sz w:val="28"/>
          <w:szCs w:val="28"/>
        </w:rPr>
        <w:t>Социальная составляющая расход</w:t>
      </w:r>
      <w:r>
        <w:rPr>
          <w:sz w:val="28"/>
          <w:szCs w:val="28"/>
        </w:rPr>
        <w:t>ной части бюджета городского округа</w:t>
      </w:r>
      <w:r w:rsidRPr="007F574A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 w:rsidRPr="0094266B">
        <w:rPr>
          <w:color w:val="FF0000"/>
          <w:sz w:val="28"/>
          <w:szCs w:val="28"/>
        </w:rPr>
        <w:t xml:space="preserve"> </w:t>
      </w:r>
      <w:r w:rsidRPr="003B7A37">
        <w:rPr>
          <w:sz w:val="28"/>
          <w:szCs w:val="28"/>
        </w:rPr>
        <w:t>78,</w:t>
      </w:r>
      <w:r w:rsidR="008A0EFB">
        <w:rPr>
          <w:sz w:val="28"/>
          <w:szCs w:val="28"/>
        </w:rPr>
        <w:t>4</w:t>
      </w:r>
      <w:r w:rsidRPr="00C938F9">
        <w:rPr>
          <w:bCs/>
          <w:sz w:val="28"/>
          <w:szCs w:val="28"/>
        </w:rPr>
        <w:t xml:space="preserve"> </w:t>
      </w:r>
      <w:r w:rsidRPr="002E7A0C">
        <w:rPr>
          <w:bCs/>
          <w:sz w:val="28"/>
          <w:szCs w:val="28"/>
        </w:rPr>
        <w:t>процента</w:t>
      </w:r>
      <w:r w:rsidRPr="003B7A37">
        <w:rPr>
          <w:sz w:val="28"/>
          <w:szCs w:val="28"/>
        </w:rPr>
        <w:t xml:space="preserve"> или 1</w:t>
      </w:r>
      <w:r w:rsidR="004A5293">
        <w:rPr>
          <w:sz w:val="28"/>
          <w:szCs w:val="28"/>
        </w:rPr>
        <w:t xml:space="preserve"> </w:t>
      </w:r>
      <w:r w:rsidRPr="003B7A37">
        <w:rPr>
          <w:sz w:val="28"/>
          <w:szCs w:val="28"/>
        </w:rPr>
        <w:t xml:space="preserve">716,4 млн. рублей, что на 38,0 млн. рублей или на 2,3 </w:t>
      </w:r>
      <w:r w:rsidRPr="002E7A0C">
        <w:rPr>
          <w:bCs/>
          <w:sz w:val="28"/>
          <w:szCs w:val="28"/>
        </w:rPr>
        <w:t>процента</w:t>
      </w:r>
      <w:r w:rsidRPr="003B7A37">
        <w:rPr>
          <w:sz w:val="28"/>
          <w:szCs w:val="28"/>
        </w:rPr>
        <w:t xml:space="preserve"> выше утвержденного плана </w:t>
      </w:r>
      <w:r w:rsidR="007731E0">
        <w:rPr>
          <w:sz w:val="28"/>
          <w:szCs w:val="28"/>
        </w:rPr>
        <w:t>2016</w:t>
      </w:r>
      <w:r w:rsidRPr="003B7A37">
        <w:rPr>
          <w:sz w:val="28"/>
          <w:szCs w:val="28"/>
        </w:rPr>
        <w:t xml:space="preserve"> года.</w:t>
      </w:r>
    </w:p>
    <w:p w:rsidR="00C938F9" w:rsidRPr="0045485F" w:rsidRDefault="00C938F9" w:rsidP="00C938F9">
      <w:pPr>
        <w:ind w:firstLine="709"/>
        <w:jc w:val="both"/>
        <w:rPr>
          <w:sz w:val="28"/>
          <w:szCs w:val="28"/>
        </w:rPr>
      </w:pPr>
      <w:r w:rsidRPr="0045485F">
        <w:rPr>
          <w:sz w:val="28"/>
          <w:szCs w:val="28"/>
        </w:rPr>
        <w:t xml:space="preserve">Общий объем расходов по разделу </w:t>
      </w:r>
      <w:r w:rsidRPr="0045485F">
        <w:rPr>
          <w:b/>
          <w:sz w:val="28"/>
          <w:szCs w:val="28"/>
        </w:rPr>
        <w:t>«Общегосударственные вопросы»</w:t>
      </w:r>
      <w:r w:rsidRPr="0045485F">
        <w:rPr>
          <w:sz w:val="28"/>
          <w:szCs w:val="28"/>
        </w:rPr>
        <w:t xml:space="preserve"> в прогнозе бюджета городского округа город Нефтекамск Республики Башкортостан на 2017 год составляет </w:t>
      </w:r>
      <w:r w:rsidRPr="007A1E4B">
        <w:rPr>
          <w:sz w:val="28"/>
          <w:szCs w:val="28"/>
        </w:rPr>
        <w:t>86,3</w:t>
      </w:r>
      <w:r w:rsidRPr="0045485F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на 1,4 млн. рублей меньше утвержденного показателя 2016 года</w:t>
      </w:r>
      <w:r w:rsidRPr="0045485F">
        <w:rPr>
          <w:sz w:val="28"/>
          <w:szCs w:val="28"/>
        </w:rPr>
        <w:t xml:space="preserve">. </w:t>
      </w:r>
      <w:r>
        <w:rPr>
          <w:sz w:val="28"/>
          <w:szCs w:val="28"/>
        </w:rPr>
        <w:t>По данному разделу</w:t>
      </w:r>
      <w:r w:rsidRPr="0045485F">
        <w:rPr>
          <w:sz w:val="28"/>
          <w:szCs w:val="28"/>
        </w:rPr>
        <w:t xml:space="preserve"> предусмотрены расходы по материально-техническому и финансовому обеспечению органов местного самоуправления.</w:t>
      </w:r>
    </w:p>
    <w:p w:rsidR="00C938F9" w:rsidRPr="003C4D75" w:rsidRDefault="00C938F9" w:rsidP="00C938F9">
      <w:pPr>
        <w:tabs>
          <w:tab w:val="left" w:pos="1134"/>
        </w:tabs>
        <w:spacing w:line="252" w:lineRule="auto"/>
        <w:ind w:firstLine="709"/>
        <w:jc w:val="both"/>
        <w:rPr>
          <w:i/>
          <w:sz w:val="28"/>
          <w:szCs w:val="28"/>
        </w:rPr>
      </w:pPr>
      <w:r w:rsidRPr="00DD302A">
        <w:rPr>
          <w:sz w:val="28"/>
          <w:szCs w:val="28"/>
        </w:rPr>
        <w:t xml:space="preserve">Раздел </w:t>
      </w:r>
      <w:r w:rsidRPr="006063D5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3C4D75">
        <w:rPr>
          <w:b/>
          <w:sz w:val="28"/>
          <w:szCs w:val="28"/>
        </w:rPr>
        <w:t xml:space="preserve"> </w:t>
      </w:r>
      <w:r w:rsidRPr="003C4D75">
        <w:rPr>
          <w:sz w:val="28"/>
          <w:szCs w:val="28"/>
        </w:rPr>
        <w:t xml:space="preserve">включает расходы бюджета </w:t>
      </w:r>
      <w:r>
        <w:rPr>
          <w:sz w:val="28"/>
          <w:szCs w:val="28"/>
        </w:rPr>
        <w:t>городского округа</w:t>
      </w:r>
      <w:r w:rsidRPr="003C4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C4D75">
        <w:rPr>
          <w:sz w:val="28"/>
          <w:szCs w:val="28"/>
        </w:rPr>
        <w:t>защиту населения и территории от чрезвычайных ситуаций природного и техногенного характера, гражданскую оборону, обеспечени</w:t>
      </w:r>
      <w:r>
        <w:rPr>
          <w:sz w:val="28"/>
          <w:szCs w:val="28"/>
        </w:rPr>
        <w:t>е</w:t>
      </w:r>
      <w:r w:rsidRPr="003C4D75">
        <w:rPr>
          <w:sz w:val="28"/>
          <w:szCs w:val="28"/>
        </w:rPr>
        <w:t xml:space="preserve"> пожарной безопасности, а также другие мероприятия в данной области.</w:t>
      </w:r>
    </w:p>
    <w:p w:rsidR="00C938F9" w:rsidRDefault="00C938F9" w:rsidP="00C938F9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  <w:r w:rsidRPr="0045485F">
        <w:rPr>
          <w:sz w:val="28"/>
          <w:szCs w:val="28"/>
        </w:rPr>
        <w:t xml:space="preserve">Планируемый объем расходов по разделу </w:t>
      </w:r>
      <w:r w:rsidRPr="006063D5">
        <w:rPr>
          <w:sz w:val="28"/>
          <w:szCs w:val="28"/>
        </w:rPr>
        <w:t>«Национальная безопасность и правоохранительная деятельность» н</w:t>
      </w:r>
      <w:r w:rsidRPr="0045485F">
        <w:rPr>
          <w:sz w:val="28"/>
          <w:szCs w:val="28"/>
        </w:rPr>
        <w:t>а 201</w:t>
      </w:r>
      <w:r>
        <w:rPr>
          <w:sz w:val="28"/>
          <w:szCs w:val="28"/>
        </w:rPr>
        <w:t>7</w:t>
      </w:r>
      <w:r w:rsidRPr="0045485F">
        <w:rPr>
          <w:sz w:val="28"/>
          <w:szCs w:val="28"/>
        </w:rPr>
        <w:t xml:space="preserve"> год в сумме 16,</w:t>
      </w:r>
      <w:r>
        <w:rPr>
          <w:sz w:val="28"/>
          <w:szCs w:val="28"/>
        </w:rPr>
        <w:t>4</w:t>
      </w:r>
      <w:r w:rsidRPr="0045485F">
        <w:rPr>
          <w:sz w:val="28"/>
          <w:szCs w:val="28"/>
        </w:rPr>
        <w:t xml:space="preserve"> млн. рублей предусмотрен на проведение мероприятий направленных на реализацию муниципальной программы «</w:t>
      </w:r>
      <w:r w:rsidRPr="00ED38B4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городском округе город Нефтекамск Республики Башкортостан</w:t>
      </w:r>
      <w:r w:rsidRPr="0045485F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45485F">
        <w:rPr>
          <w:sz w:val="28"/>
          <w:szCs w:val="28"/>
        </w:rPr>
        <w:t>содержание и обеспечение деятельности МБУ «Управление гражданской защиты городского округа город Нефте</w:t>
      </w:r>
      <w:r>
        <w:rPr>
          <w:sz w:val="28"/>
          <w:szCs w:val="28"/>
        </w:rPr>
        <w:t>камск»,</w:t>
      </w:r>
      <w:r w:rsidRPr="0045485F">
        <w:rPr>
          <w:sz w:val="28"/>
          <w:szCs w:val="28"/>
        </w:rPr>
        <w:t xml:space="preserve"> а также на погашение кредиторской задолженности прошлых лет.</w:t>
      </w:r>
    </w:p>
    <w:p w:rsidR="00C938F9" w:rsidRPr="00E32D78" w:rsidRDefault="00C938F9" w:rsidP="00C938F9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2D78">
        <w:rPr>
          <w:sz w:val="28"/>
          <w:szCs w:val="28"/>
        </w:rPr>
        <w:t xml:space="preserve">Раздел </w:t>
      </w:r>
      <w:r w:rsidRPr="00A2018C">
        <w:rPr>
          <w:b/>
          <w:sz w:val="28"/>
          <w:szCs w:val="28"/>
        </w:rPr>
        <w:t>«Национальная экономика»</w:t>
      </w:r>
      <w:r w:rsidRPr="00E32D78">
        <w:rPr>
          <w:sz w:val="28"/>
          <w:szCs w:val="28"/>
        </w:rPr>
        <w:t xml:space="preserve"> включает расходы бюджета </w:t>
      </w:r>
      <w:r>
        <w:rPr>
          <w:sz w:val="28"/>
          <w:szCs w:val="28"/>
        </w:rPr>
        <w:t>городского округа</w:t>
      </w:r>
      <w:r w:rsidRPr="00E32D78">
        <w:rPr>
          <w:sz w:val="28"/>
          <w:szCs w:val="28"/>
        </w:rPr>
        <w:t xml:space="preserve"> на</w:t>
      </w:r>
      <w:r w:rsidRPr="00E32D7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2D78">
        <w:rPr>
          <w:rFonts w:eastAsia="Calibri"/>
          <w:snapToGrid w:val="0"/>
          <w:color w:val="000000"/>
          <w:sz w:val="28"/>
          <w:szCs w:val="28"/>
          <w:lang w:eastAsia="en-US"/>
        </w:rPr>
        <w:t>реализацию полномочий в области</w:t>
      </w:r>
      <w:r w:rsidRPr="00E32D78">
        <w:rPr>
          <w:rFonts w:eastAsia="Calibri"/>
          <w:color w:val="000000"/>
          <w:sz w:val="28"/>
          <w:szCs w:val="28"/>
          <w:lang w:eastAsia="en-US"/>
        </w:rPr>
        <w:t xml:space="preserve"> дорожного хозяйства, строительства, предпринимательской, инновационной деятельности, промышленности, землеустройства и других направлений.</w:t>
      </w:r>
    </w:p>
    <w:p w:rsidR="00C938F9" w:rsidRDefault="00C938F9" w:rsidP="00C938F9">
      <w:pPr>
        <w:ind w:firstLine="709"/>
        <w:jc w:val="both"/>
        <w:rPr>
          <w:color w:val="FF0000"/>
          <w:sz w:val="28"/>
          <w:szCs w:val="28"/>
        </w:rPr>
      </w:pPr>
      <w:r w:rsidRPr="0045485F">
        <w:rPr>
          <w:sz w:val="28"/>
          <w:szCs w:val="28"/>
        </w:rPr>
        <w:t xml:space="preserve">На развитие отраслей в области </w:t>
      </w:r>
      <w:r w:rsidRPr="00A2018C">
        <w:rPr>
          <w:sz w:val="28"/>
          <w:szCs w:val="28"/>
        </w:rPr>
        <w:t>национальной экономики</w:t>
      </w:r>
      <w:r w:rsidRPr="0045485F">
        <w:rPr>
          <w:sz w:val="28"/>
          <w:szCs w:val="28"/>
        </w:rPr>
        <w:t xml:space="preserve"> в расходах бюджета городского округа город Нефтекамск на 2017 год запланированы средства в </w:t>
      </w:r>
      <w:r w:rsidRPr="007A1E4B">
        <w:rPr>
          <w:sz w:val="28"/>
          <w:szCs w:val="28"/>
        </w:rPr>
        <w:t>объеме 2</w:t>
      </w:r>
      <w:r w:rsidR="008A0EFB">
        <w:rPr>
          <w:sz w:val="28"/>
          <w:szCs w:val="28"/>
        </w:rPr>
        <w:t>60</w:t>
      </w:r>
      <w:r w:rsidRPr="007A1E4B">
        <w:rPr>
          <w:sz w:val="28"/>
          <w:szCs w:val="28"/>
        </w:rPr>
        <w:t xml:space="preserve">,3 млн. рублей, на </w:t>
      </w:r>
      <w:r w:rsidR="008A0EFB">
        <w:rPr>
          <w:sz w:val="28"/>
          <w:szCs w:val="28"/>
        </w:rPr>
        <w:t>69,1</w:t>
      </w:r>
      <w:r w:rsidRPr="007A1E4B">
        <w:rPr>
          <w:sz w:val="28"/>
          <w:szCs w:val="28"/>
        </w:rPr>
        <w:t xml:space="preserve"> млн. рублей или </w:t>
      </w:r>
      <w:r w:rsidR="007731E0">
        <w:rPr>
          <w:sz w:val="28"/>
          <w:szCs w:val="28"/>
        </w:rPr>
        <w:t xml:space="preserve">на </w:t>
      </w:r>
      <w:r w:rsidR="008A0EFB">
        <w:rPr>
          <w:sz w:val="28"/>
          <w:szCs w:val="28"/>
        </w:rPr>
        <w:t>36,1</w:t>
      </w:r>
      <w:r w:rsidRPr="007A1E4B">
        <w:rPr>
          <w:sz w:val="28"/>
          <w:szCs w:val="28"/>
        </w:rPr>
        <w:t xml:space="preserve"> </w:t>
      </w:r>
      <w:r w:rsidRPr="002E7A0C">
        <w:rPr>
          <w:bCs/>
          <w:sz w:val="28"/>
          <w:szCs w:val="28"/>
        </w:rPr>
        <w:t>процента</w:t>
      </w:r>
      <w:r w:rsidRPr="0094266B">
        <w:rPr>
          <w:color w:val="FF0000"/>
          <w:sz w:val="28"/>
          <w:szCs w:val="28"/>
        </w:rPr>
        <w:t xml:space="preserve"> </w:t>
      </w:r>
      <w:r w:rsidRPr="003B7A37">
        <w:rPr>
          <w:sz w:val="28"/>
          <w:szCs w:val="28"/>
        </w:rPr>
        <w:t>выше утвержденного плана на текущий год.</w:t>
      </w:r>
      <w:r>
        <w:rPr>
          <w:sz w:val="28"/>
          <w:szCs w:val="28"/>
        </w:rPr>
        <w:t xml:space="preserve"> Увеличение объема расходов по сравнению с утвержденным уровнем 2016 года связано с увеличением объема безвозмездных поступлений из вышестоящего бюджета на 81,7 </w:t>
      </w:r>
      <w:r w:rsidRPr="002E7A0C">
        <w:rPr>
          <w:bCs/>
          <w:sz w:val="28"/>
          <w:szCs w:val="28"/>
        </w:rPr>
        <w:t>процента</w:t>
      </w:r>
      <w:r>
        <w:rPr>
          <w:sz w:val="28"/>
          <w:szCs w:val="28"/>
        </w:rPr>
        <w:t xml:space="preserve"> или 36,7 млн. рублей.</w:t>
      </w:r>
      <w:r w:rsidRPr="0094266B">
        <w:rPr>
          <w:color w:val="FF0000"/>
          <w:sz w:val="28"/>
          <w:szCs w:val="28"/>
        </w:rPr>
        <w:t xml:space="preserve"> </w:t>
      </w:r>
      <w:r w:rsidRPr="003B7A37">
        <w:rPr>
          <w:sz w:val="28"/>
          <w:szCs w:val="28"/>
        </w:rPr>
        <w:t xml:space="preserve">Удельный вес расходов </w:t>
      </w:r>
      <w:r>
        <w:rPr>
          <w:sz w:val="28"/>
          <w:szCs w:val="28"/>
        </w:rPr>
        <w:t xml:space="preserve">по разделу «Национальная экономика» </w:t>
      </w:r>
      <w:r w:rsidRPr="003B7A37">
        <w:rPr>
          <w:sz w:val="28"/>
          <w:szCs w:val="28"/>
        </w:rPr>
        <w:t>в общем объеме бюджета составляет 11,</w:t>
      </w:r>
      <w:r w:rsidR="008A0EFB">
        <w:rPr>
          <w:sz w:val="28"/>
          <w:szCs w:val="28"/>
        </w:rPr>
        <w:t>9</w:t>
      </w:r>
      <w:r w:rsidRPr="003B7A37">
        <w:rPr>
          <w:sz w:val="28"/>
          <w:szCs w:val="28"/>
        </w:rPr>
        <w:t xml:space="preserve"> </w:t>
      </w:r>
      <w:r w:rsidRPr="002E7A0C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ов</w:t>
      </w:r>
      <w:r w:rsidRPr="003B7A37">
        <w:rPr>
          <w:sz w:val="28"/>
          <w:szCs w:val="28"/>
        </w:rPr>
        <w:t>.</w:t>
      </w:r>
      <w:r w:rsidRPr="0094266B">
        <w:rPr>
          <w:color w:val="FF0000"/>
          <w:sz w:val="28"/>
          <w:szCs w:val="28"/>
        </w:rPr>
        <w:t xml:space="preserve"> </w:t>
      </w:r>
    </w:p>
    <w:p w:rsidR="00466AEF" w:rsidRPr="0045485F" w:rsidRDefault="00466AEF" w:rsidP="00466AEF">
      <w:pPr>
        <w:ind w:firstLine="709"/>
        <w:jc w:val="both"/>
        <w:rPr>
          <w:sz w:val="28"/>
          <w:szCs w:val="28"/>
        </w:rPr>
      </w:pPr>
      <w:r w:rsidRPr="0045485F">
        <w:rPr>
          <w:sz w:val="28"/>
          <w:szCs w:val="28"/>
        </w:rPr>
        <w:t>Расходы планируются в рамках следующих муниципальных программ:</w:t>
      </w:r>
    </w:p>
    <w:p w:rsidR="00466AEF" w:rsidRPr="0094266B" w:rsidRDefault="00466AEF" w:rsidP="00466AEF">
      <w:pPr>
        <w:ind w:firstLine="709"/>
        <w:jc w:val="both"/>
        <w:rPr>
          <w:color w:val="FF0000"/>
          <w:sz w:val="28"/>
          <w:szCs w:val="28"/>
        </w:rPr>
      </w:pPr>
      <w:r w:rsidRPr="009241F8">
        <w:rPr>
          <w:sz w:val="28"/>
          <w:szCs w:val="28"/>
        </w:rPr>
        <w:t>- «Благоустройство городского округа город Нефтекамск Республики Башкортостан</w:t>
      </w:r>
      <w:r w:rsidRPr="004E4206">
        <w:rPr>
          <w:sz w:val="28"/>
          <w:szCs w:val="28"/>
        </w:rPr>
        <w:t>»;</w:t>
      </w:r>
    </w:p>
    <w:p w:rsidR="00466AEF" w:rsidRPr="0045485F" w:rsidRDefault="00466AEF" w:rsidP="00466AEF">
      <w:pPr>
        <w:ind w:firstLine="709"/>
        <w:jc w:val="both"/>
        <w:rPr>
          <w:bCs/>
          <w:sz w:val="28"/>
          <w:szCs w:val="28"/>
        </w:rPr>
      </w:pPr>
      <w:r w:rsidRPr="0045485F">
        <w:rPr>
          <w:sz w:val="28"/>
          <w:szCs w:val="28"/>
        </w:rPr>
        <w:lastRenderedPageBreak/>
        <w:t xml:space="preserve">- </w:t>
      </w:r>
      <w:r w:rsidRPr="0045485F">
        <w:rPr>
          <w:bCs/>
          <w:sz w:val="28"/>
          <w:szCs w:val="28"/>
        </w:rPr>
        <w:t>«Развитие и поддержка малого и среднего предпринимательства в городском округе город Нефтекамск Республики Башкортостан»;</w:t>
      </w:r>
    </w:p>
    <w:p w:rsidR="00466AEF" w:rsidRPr="008A33F1" w:rsidRDefault="00466AEF" w:rsidP="00466AEF">
      <w:pPr>
        <w:ind w:firstLine="709"/>
        <w:jc w:val="both"/>
        <w:rPr>
          <w:bCs/>
          <w:sz w:val="28"/>
          <w:szCs w:val="28"/>
        </w:rPr>
      </w:pPr>
      <w:r w:rsidRPr="008A33F1">
        <w:rPr>
          <w:bCs/>
          <w:sz w:val="28"/>
          <w:szCs w:val="28"/>
        </w:rPr>
        <w:t>- «Развитие архитектуры и градостроительства городского округа город Нефтекамск Республики Башкортостан».</w:t>
      </w:r>
    </w:p>
    <w:p w:rsidR="00C938F9" w:rsidRPr="008A33F1" w:rsidRDefault="00C938F9" w:rsidP="00C938F9">
      <w:pPr>
        <w:ind w:firstLine="709"/>
        <w:jc w:val="both"/>
        <w:rPr>
          <w:sz w:val="28"/>
          <w:szCs w:val="28"/>
        </w:rPr>
      </w:pPr>
      <w:r w:rsidRPr="008A33F1">
        <w:rPr>
          <w:sz w:val="28"/>
          <w:szCs w:val="28"/>
        </w:rPr>
        <w:t>За счет средств бюджета Республики Башкортостан по этому разделу предусмотрены субсидии и субвенции:</w:t>
      </w:r>
    </w:p>
    <w:p w:rsidR="00C938F9" w:rsidRPr="008A33F1" w:rsidRDefault="00C938F9" w:rsidP="00C938F9">
      <w:pPr>
        <w:ind w:firstLine="709"/>
        <w:jc w:val="both"/>
        <w:rPr>
          <w:sz w:val="28"/>
          <w:szCs w:val="28"/>
        </w:rPr>
      </w:pPr>
      <w:r w:rsidRPr="008A33F1">
        <w:rPr>
          <w:sz w:val="28"/>
          <w:szCs w:val="28"/>
        </w:rPr>
        <w:t>- на мероприятия по предупреждению и ликвидации болезней животных, их лечению, защите населения от болезней, общих для человека и животных – 48,0 тыс. рублей, что на 5,4 тыс. рублей ниже уровня 2016 года;</w:t>
      </w:r>
    </w:p>
    <w:p w:rsidR="00C938F9" w:rsidRPr="008A33F1" w:rsidRDefault="00C938F9" w:rsidP="00C938F9">
      <w:pPr>
        <w:pStyle w:val="ac"/>
        <w:spacing w:after="0"/>
        <w:ind w:firstLine="709"/>
        <w:jc w:val="both"/>
        <w:rPr>
          <w:sz w:val="28"/>
          <w:szCs w:val="28"/>
        </w:rPr>
      </w:pPr>
      <w:r w:rsidRPr="008A33F1">
        <w:rPr>
          <w:sz w:val="28"/>
          <w:szCs w:val="28"/>
        </w:rPr>
        <w:t>- на проведение кадастровых работ по межеванию земельных участков в целях их предоставления гражданам, имеющим трех и более несовершеннолетних детей, а также ребенка-инвалида за счет средств бюджета Республики Башкортостан в сумме 1,7 млн. рублей на уровне плана на 2016 год;</w:t>
      </w:r>
    </w:p>
    <w:p w:rsidR="00C938F9" w:rsidRPr="008A33F1" w:rsidRDefault="00C938F9" w:rsidP="00C938F9">
      <w:pPr>
        <w:ind w:firstLine="709"/>
        <w:jc w:val="both"/>
        <w:rPr>
          <w:sz w:val="28"/>
          <w:szCs w:val="28"/>
        </w:rPr>
      </w:pPr>
      <w:r w:rsidRPr="008A33F1">
        <w:rPr>
          <w:sz w:val="28"/>
          <w:szCs w:val="28"/>
        </w:rPr>
        <w:t>- на осуществление государственных полномочий по организации проведения мероприятий по отлову и содержанию безнадзорных животных – 1,6 млн. рублей</w:t>
      </w:r>
      <w:r>
        <w:rPr>
          <w:sz w:val="28"/>
          <w:szCs w:val="28"/>
        </w:rPr>
        <w:t>,</w:t>
      </w:r>
      <w:r w:rsidRPr="008A33F1">
        <w:rPr>
          <w:sz w:val="28"/>
          <w:szCs w:val="28"/>
        </w:rPr>
        <w:t xml:space="preserve"> на 1,6 тыс. рублей ниже уровня 2016 года;</w:t>
      </w:r>
    </w:p>
    <w:p w:rsidR="00C938F9" w:rsidRPr="008A33F1" w:rsidRDefault="00C938F9" w:rsidP="00C938F9">
      <w:pPr>
        <w:pStyle w:val="ac"/>
        <w:spacing w:after="0"/>
        <w:ind w:firstLine="709"/>
        <w:jc w:val="both"/>
        <w:rPr>
          <w:sz w:val="28"/>
          <w:szCs w:val="28"/>
        </w:rPr>
      </w:pPr>
      <w:r w:rsidRPr="008A33F1">
        <w:rPr>
          <w:sz w:val="28"/>
          <w:szCs w:val="28"/>
        </w:rPr>
        <w:t xml:space="preserve">- на осуществление дорожной деятельности в отношении дорог общего пользования в сумме </w:t>
      </w:r>
      <w:r w:rsidRPr="00D41465">
        <w:rPr>
          <w:sz w:val="28"/>
          <w:szCs w:val="28"/>
        </w:rPr>
        <w:t>78,</w:t>
      </w:r>
      <w:r>
        <w:rPr>
          <w:sz w:val="28"/>
          <w:szCs w:val="28"/>
        </w:rPr>
        <w:t>2</w:t>
      </w:r>
      <w:r w:rsidRPr="008A33F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на 38,3 млн. рублей выше утвержденного уровня 2016 года</w:t>
      </w:r>
      <w:r w:rsidRPr="008A33F1">
        <w:rPr>
          <w:sz w:val="28"/>
          <w:szCs w:val="28"/>
        </w:rPr>
        <w:t>.</w:t>
      </w:r>
    </w:p>
    <w:p w:rsidR="003968B8" w:rsidRDefault="003968B8" w:rsidP="0077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241F8">
        <w:rPr>
          <w:sz w:val="28"/>
          <w:szCs w:val="28"/>
        </w:rPr>
        <w:t>а софинансирование республиканских программ</w:t>
      </w:r>
      <w:r w:rsidRPr="003968B8">
        <w:rPr>
          <w:sz w:val="28"/>
          <w:szCs w:val="28"/>
        </w:rPr>
        <w:t xml:space="preserve"> </w:t>
      </w:r>
      <w:r w:rsidRPr="009241F8">
        <w:rPr>
          <w:sz w:val="28"/>
          <w:szCs w:val="28"/>
        </w:rPr>
        <w:t>планируется направить средства</w:t>
      </w:r>
      <w:r>
        <w:rPr>
          <w:sz w:val="28"/>
          <w:szCs w:val="28"/>
        </w:rPr>
        <w:t xml:space="preserve"> в сумме 2,5 млн. рублей</w:t>
      </w:r>
      <w:r w:rsidRPr="009241F8">
        <w:rPr>
          <w:sz w:val="28"/>
          <w:szCs w:val="28"/>
        </w:rPr>
        <w:t>, в т.ч.:</w:t>
      </w:r>
    </w:p>
    <w:p w:rsidR="003968B8" w:rsidRDefault="003968B8" w:rsidP="007731E0">
      <w:pPr>
        <w:ind w:firstLine="709"/>
        <w:jc w:val="both"/>
        <w:rPr>
          <w:sz w:val="28"/>
          <w:szCs w:val="28"/>
        </w:rPr>
      </w:pPr>
      <w:r w:rsidRPr="002C5C22">
        <w:t xml:space="preserve">- </w:t>
      </w:r>
      <w:r w:rsidRPr="008A33F1">
        <w:rPr>
          <w:sz w:val="28"/>
          <w:szCs w:val="28"/>
        </w:rPr>
        <w:t xml:space="preserve">на осуществление дорожной деятельности в отношении дорог общего пользования </w:t>
      </w:r>
      <w:r w:rsidRPr="002C5C22">
        <w:rPr>
          <w:sz w:val="28"/>
          <w:szCs w:val="28"/>
        </w:rPr>
        <w:t xml:space="preserve">– </w:t>
      </w:r>
      <w:r>
        <w:rPr>
          <w:sz w:val="28"/>
          <w:szCs w:val="28"/>
        </w:rPr>
        <w:t>2,4 млн</w:t>
      </w:r>
      <w:r w:rsidRPr="002C5C22">
        <w:rPr>
          <w:sz w:val="28"/>
          <w:szCs w:val="28"/>
        </w:rPr>
        <w:t>. рублей</w:t>
      </w:r>
      <w:r>
        <w:rPr>
          <w:sz w:val="28"/>
          <w:szCs w:val="28"/>
        </w:rPr>
        <w:t>;</w:t>
      </w:r>
    </w:p>
    <w:p w:rsidR="007731E0" w:rsidRPr="002C5C22" w:rsidRDefault="007731E0" w:rsidP="007731E0">
      <w:pPr>
        <w:ind w:firstLine="709"/>
        <w:jc w:val="both"/>
        <w:rPr>
          <w:sz w:val="28"/>
          <w:szCs w:val="28"/>
        </w:rPr>
      </w:pPr>
      <w:r w:rsidRPr="00930CD4">
        <w:rPr>
          <w:sz w:val="28"/>
          <w:szCs w:val="28"/>
        </w:rPr>
        <w:t xml:space="preserve">- на </w:t>
      </w:r>
      <w:r w:rsidR="00292E60" w:rsidRPr="008A33F1">
        <w:rPr>
          <w:sz w:val="28"/>
          <w:szCs w:val="28"/>
        </w:rPr>
        <w:t xml:space="preserve">проведение кадастровых работ по межеванию земельных участков в целях их предоставления гражданам, имеющим трех и более несовершеннолетних детей, а также ребенка-инвалида </w:t>
      </w:r>
      <w:r w:rsidRPr="00930CD4">
        <w:rPr>
          <w:sz w:val="28"/>
          <w:szCs w:val="28"/>
        </w:rPr>
        <w:t xml:space="preserve">– </w:t>
      </w:r>
      <w:r w:rsidR="00292E60">
        <w:rPr>
          <w:sz w:val="28"/>
          <w:szCs w:val="28"/>
        </w:rPr>
        <w:t>85,9 тыс</w:t>
      </w:r>
      <w:r w:rsidRPr="00930CD4">
        <w:rPr>
          <w:sz w:val="28"/>
          <w:szCs w:val="28"/>
        </w:rPr>
        <w:t>. рублей</w:t>
      </w:r>
      <w:r w:rsidR="003968B8">
        <w:rPr>
          <w:sz w:val="28"/>
          <w:szCs w:val="28"/>
        </w:rPr>
        <w:t>.</w:t>
      </w:r>
    </w:p>
    <w:p w:rsidR="00C938F9" w:rsidRPr="00234DF4" w:rsidRDefault="00C938F9" w:rsidP="00C938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315716">
        <w:rPr>
          <w:b/>
          <w:sz w:val="28"/>
          <w:szCs w:val="28"/>
        </w:rPr>
        <w:t>«Жилищно-коммунальное хозяйство»</w:t>
      </w:r>
      <w:r>
        <w:rPr>
          <w:sz w:val="28"/>
          <w:szCs w:val="28"/>
        </w:rPr>
        <w:t xml:space="preserve"> включает расходы бюджета городского округа на</w:t>
      </w:r>
      <w:r w:rsidRPr="00234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реализацию мероприятий, связанных </w:t>
      </w:r>
      <w:r>
        <w:rPr>
          <w:sz w:val="28"/>
          <w:szCs w:val="28"/>
        </w:rPr>
        <w:br/>
      </w:r>
      <w:r w:rsidRPr="00234DF4">
        <w:rPr>
          <w:sz w:val="28"/>
          <w:szCs w:val="28"/>
        </w:rPr>
        <w:t>с созданием благоприятных условий проживания граждан, повышением надежности и эффективности работы коммунальной инфраструктуры.</w:t>
      </w:r>
    </w:p>
    <w:p w:rsidR="00C938F9" w:rsidRPr="004E4206" w:rsidRDefault="00C938F9" w:rsidP="00C9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A33F1">
        <w:rPr>
          <w:sz w:val="28"/>
          <w:szCs w:val="28"/>
        </w:rPr>
        <w:t xml:space="preserve">а 2017 год расходы по разделу </w:t>
      </w:r>
      <w:r w:rsidRPr="008A33F1">
        <w:rPr>
          <w:b/>
          <w:sz w:val="28"/>
          <w:szCs w:val="28"/>
        </w:rPr>
        <w:t>«</w:t>
      </w:r>
      <w:r w:rsidRPr="00315716">
        <w:rPr>
          <w:sz w:val="28"/>
          <w:szCs w:val="28"/>
        </w:rPr>
        <w:t xml:space="preserve">Жилищно-коммунальное хозяйство» </w:t>
      </w:r>
      <w:r w:rsidRPr="008A33F1">
        <w:rPr>
          <w:sz w:val="28"/>
          <w:szCs w:val="28"/>
        </w:rPr>
        <w:t>планируются в сумме</w:t>
      </w:r>
      <w:r w:rsidRPr="0094266B">
        <w:rPr>
          <w:color w:val="FF0000"/>
          <w:sz w:val="28"/>
          <w:szCs w:val="28"/>
        </w:rPr>
        <w:t xml:space="preserve"> </w:t>
      </w:r>
      <w:r w:rsidRPr="004E4206">
        <w:rPr>
          <w:sz w:val="28"/>
          <w:szCs w:val="28"/>
        </w:rPr>
        <w:t xml:space="preserve">107,2 млн. рублей (удельный вес – 4,9 </w:t>
      </w:r>
      <w:r w:rsidR="007731E0" w:rsidRPr="002E7A0C">
        <w:rPr>
          <w:bCs/>
          <w:sz w:val="28"/>
          <w:szCs w:val="28"/>
        </w:rPr>
        <w:t>процента</w:t>
      </w:r>
      <w:r w:rsidRPr="004E4206">
        <w:rPr>
          <w:sz w:val="28"/>
          <w:szCs w:val="28"/>
        </w:rPr>
        <w:t>), на 13,2 млн. меньше, чем утверждено на текущий год, что связано с уменьшением безвозмездных перечислений из вышестоящего бюджета</w:t>
      </w:r>
      <w:r>
        <w:rPr>
          <w:sz w:val="28"/>
          <w:szCs w:val="28"/>
        </w:rPr>
        <w:t xml:space="preserve"> на 55,5 </w:t>
      </w:r>
      <w:r w:rsidR="007731E0" w:rsidRPr="002E7A0C">
        <w:rPr>
          <w:bCs/>
          <w:sz w:val="28"/>
          <w:szCs w:val="28"/>
        </w:rPr>
        <w:t>процента</w:t>
      </w:r>
      <w:r>
        <w:rPr>
          <w:sz w:val="28"/>
          <w:szCs w:val="28"/>
        </w:rPr>
        <w:t xml:space="preserve"> или на 28,8 млн.рублей (в 2016 году были предусмотрены субсидии на переселение граждан из аварийного жилфонда в сумме 30,9 млн.рублей)</w:t>
      </w:r>
      <w:r w:rsidRPr="004E4206">
        <w:rPr>
          <w:sz w:val="28"/>
          <w:szCs w:val="28"/>
        </w:rPr>
        <w:t>.</w:t>
      </w:r>
    </w:p>
    <w:p w:rsidR="00C938F9" w:rsidRPr="00930CD4" w:rsidRDefault="00C938F9" w:rsidP="00C938F9">
      <w:pPr>
        <w:ind w:firstLine="709"/>
        <w:jc w:val="both"/>
        <w:rPr>
          <w:sz w:val="28"/>
          <w:szCs w:val="28"/>
        </w:rPr>
      </w:pPr>
      <w:r w:rsidRPr="00930CD4">
        <w:rPr>
          <w:sz w:val="28"/>
          <w:szCs w:val="28"/>
        </w:rPr>
        <w:t>Расходы планируются в рамках программы «Благоустройство городского округа город Нефтекамск Республики Башкортостан»</w:t>
      </w:r>
      <w:r w:rsidRPr="00930CD4">
        <w:rPr>
          <w:bCs/>
          <w:sz w:val="28"/>
          <w:szCs w:val="28"/>
        </w:rPr>
        <w:t xml:space="preserve"> и программы «Развитие архитектуры и градостроительства городского округа город Нефтекамск Республики Башкортостан»</w:t>
      </w:r>
      <w:r w:rsidRPr="00930CD4">
        <w:rPr>
          <w:sz w:val="28"/>
          <w:szCs w:val="28"/>
        </w:rPr>
        <w:t>.</w:t>
      </w:r>
    </w:p>
    <w:p w:rsidR="00C938F9" w:rsidRPr="00930CD4" w:rsidRDefault="00C938F9" w:rsidP="00C938F9">
      <w:pPr>
        <w:ind w:firstLine="709"/>
        <w:jc w:val="both"/>
        <w:rPr>
          <w:sz w:val="28"/>
          <w:szCs w:val="28"/>
        </w:rPr>
      </w:pPr>
      <w:r w:rsidRPr="00930CD4">
        <w:rPr>
          <w:sz w:val="28"/>
          <w:szCs w:val="28"/>
        </w:rPr>
        <w:t xml:space="preserve">Основными направлениями расходования средств по </w:t>
      </w:r>
      <w:r>
        <w:rPr>
          <w:sz w:val="28"/>
          <w:szCs w:val="28"/>
        </w:rPr>
        <w:t>разделу</w:t>
      </w:r>
      <w:r w:rsidRPr="00930CD4">
        <w:rPr>
          <w:b/>
          <w:sz w:val="28"/>
          <w:szCs w:val="28"/>
        </w:rPr>
        <w:t xml:space="preserve"> </w:t>
      </w:r>
      <w:r w:rsidRPr="00930CD4">
        <w:rPr>
          <w:sz w:val="28"/>
          <w:szCs w:val="28"/>
        </w:rPr>
        <w:t>«Жилищно-коммунальное хозяйство»</w:t>
      </w:r>
      <w:r w:rsidRPr="00930CD4">
        <w:rPr>
          <w:b/>
          <w:sz w:val="28"/>
          <w:szCs w:val="28"/>
        </w:rPr>
        <w:t xml:space="preserve"> </w:t>
      </w:r>
      <w:r w:rsidRPr="00930CD4">
        <w:rPr>
          <w:sz w:val="28"/>
          <w:szCs w:val="28"/>
        </w:rPr>
        <w:t>являются расходы:</w:t>
      </w:r>
    </w:p>
    <w:p w:rsidR="00C938F9" w:rsidRPr="008A33F1" w:rsidRDefault="00C938F9" w:rsidP="00C938F9">
      <w:pPr>
        <w:ind w:firstLine="709"/>
        <w:jc w:val="both"/>
        <w:rPr>
          <w:sz w:val="28"/>
          <w:szCs w:val="28"/>
        </w:rPr>
      </w:pPr>
      <w:r w:rsidRPr="008A33F1">
        <w:rPr>
          <w:sz w:val="28"/>
          <w:szCs w:val="28"/>
        </w:rPr>
        <w:lastRenderedPageBreak/>
        <w:t xml:space="preserve">- на уличное освещение – 56,8 млн. рублей - это на 14,3 млн. рублей или 33,6 </w:t>
      </w:r>
      <w:r w:rsidRPr="002E7A0C">
        <w:rPr>
          <w:bCs/>
          <w:sz w:val="28"/>
          <w:szCs w:val="28"/>
        </w:rPr>
        <w:t>процента</w:t>
      </w:r>
      <w:r w:rsidRPr="008A33F1">
        <w:rPr>
          <w:sz w:val="28"/>
          <w:szCs w:val="28"/>
        </w:rPr>
        <w:t xml:space="preserve"> больше суммы, предусмотренной на 2016 год;</w:t>
      </w:r>
    </w:p>
    <w:p w:rsidR="00C938F9" w:rsidRPr="008A33F1" w:rsidRDefault="00C938F9" w:rsidP="00C938F9">
      <w:pPr>
        <w:ind w:firstLine="709"/>
        <w:jc w:val="both"/>
        <w:rPr>
          <w:sz w:val="28"/>
          <w:szCs w:val="28"/>
        </w:rPr>
      </w:pPr>
      <w:r w:rsidRPr="008A33F1">
        <w:rPr>
          <w:sz w:val="28"/>
          <w:szCs w:val="28"/>
        </w:rPr>
        <w:t>- на благоустройство и озеленение территории городского округа – 12,6 млн. рублей</w:t>
      </w:r>
      <w:r>
        <w:rPr>
          <w:sz w:val="28"/>
          <w:szCs w:val="28"/>
        </w:rPr>
        <w:t xml:space="preserve">, на </w:t>
      </w:r>
      <w:r w:rsidRPr="008A33F1">
        <w:rPr>
          <w:sz w:val="28"/>
          <w:szCs w:val="28"/>
        </w:rPr>
        <w:t>уровн</w:t>
      </w:r>
      <w:r>
        <w:rPr>
          <w:sz w:val="28"/>
          <w:szCs w:val="28"/>
        </w:rPr>
        <w:t>е</w:t>
      </w:r>
      <w:r w:rsidRPr="008A33F1">
        <w:rPr>
          <w:sz w:val="28"/>
          <w:szCs w:val="28"/>
        </w:rPr>
        <w:t xml:space="preserve"> плана на 2016 год;</w:t>
      </w:r>
    </w:p>
    <w:p w:rsidR="00C938F9" w:rsidRPr="008A33F1" w:rsidRDefault="00C938F9" w:rsidP="00C938F9">
      <w:pPr>
        <w:ind w:firstLine="709"/>
        <w:jc w:val="both"/>
        <w:rPr>
          <w:sz w:val="28"/>
          <w:szCs w:val="28"/>
        </w:rPr>
      </w:pPr>
      <w:r w:rsidRPr="008A33F1">
        <w:rPr>
          <w:sz w:val="28"/>
          <w:szCs w:val="28"/>
        </w:rPr>
        <w:t>- на содержание мест захоронения – 1,</w:t>
      </w:r>
      <w:r>
        <w:rPr>
          <w:sz w:val="28"/>
          <w:szCs w:val="28"/>
        </w:rPr>
        <w:t>5</w:t>
      </w:r>
      <w:r w:rsidRPr="008A33F1">
        <w:rPr>
          <w:sz w:val="28"/>
          <w:szCs w:val="28"/>
        </w:rPr>
        <w:t xml:space="preserve"> млн. рублей на уровне плана на 201</w:t>
      </w:r>
      <w:r>
        <w:rPr>
          <w:sz w:val="28"/>
          <w:szCs w:val="28"/>
        </w:rPr>
        <w:t>6</w:t>
      </w:r>
      <w:r w:rsidRPr="008A33F1">
        <w:rPr>
          <w:sz w:val="28"/>
          <w:szCs w:val="28"/>
        </w:rPr>
        <w:t xml:space="preserve"> год;</w:t>
      </w:r>
    </w:p>
    <w:p w:rsidR="00C938F9" w:rsidRPr="008A33F1" w:rsidRDefault="00C938F9" w:rsidP="00C938F9">
      <w:pPr>
        <w:ind w:firstLine="709"/>
        <w:jc w:val="both"/>
        <w:rPr>
          <w:sz w:val="28"/>
          <w:szCs w:val="28"/>
        </w:rPr>
      </w:pPr>
      <w:r w:rsidRPr="008A33F1">
        <w:rPr>
          <w:sz w:val="28"/>
          <w:szCs w:val="28"/>
        </w:rPr>
        <w:t>- на техобслуживание котельной с. Амзя – 5,0 млн. рублей, на 0,6 млн.рублей больше уровня 2016 года;</w:t>
      </w:r>
    </w:p>
    <w:p w:rsidR="00C938F9" w:rsidRPr="00E67452" w:rsidRDefault="00C938F9" w:rsidP="00C938F9">
      <w:pPr>
        <w:ind w:firstLine="709"/>
        <w:jc w:val="both"/>
        <w:rPr>
          <w:sz w:val="28"/>
          <w:szCs w:val="28"/>
        </w:rPr>
      </w:pPr>
      <w:r w:rsidRPr="00E67452">
        <w:rPr>
          <w:sz w:val="28"/>
          <w:szCs w:val="28"/>
        </w:rPr>
        <w:t>- на уплату взносов региональному оператору на капитальный ремонт муниципального жилищного фонда– 4,0 млн. рублей</w:t>
      </w:r>
      <w:r>
        <w:rPr>
          <w:sz w:val="28"/>
          <w:szCs w:val="28"/>
        </w:rPr>
        <w:t xml:space="preserve"> на 2,3 млн.рублей </w:t>
      </w:r>
      <w:r w:rsidR="00292E60">
        <w:rPr>
          <w:sz w:val="28"/>
          <w:szCs w:val="28"/>
        </w:rPr>
        <w:t>выш</w:t>
      </w:r>
      <w:r>
        <w:rPr>
          <w:sz w:val="28"/>
          <w:szCs w:val="28"/>
        </w:rPr>
        <w:t>е уровня 2016 года</w:t>
      </w:r>
      <w:r w:rsidRPr="00E67452">
        <w:rPr>
          <w:sz w:val="28"/>
          <w:szCs w:val="28"/>
        </w:rPr>
        <w:t>.</w:t>
      </w:r>
    </w:p>
    <w:p w:rsidR="003968B8" w:rsidRPr="00D41465" w:rsidRDefault="003968B8" w:rsidP="003968B8">
      <w:pPr>
        <w:ind w:firstLine="709"/>
        <w:jc w:val="both"/>
        <w:rPr>
          <w:sz w:val="28"/>
          <w:szCs w:val="28"/>
        </w:rPr>
      </w:pPr>
      <w:r w:rsidRPr="00D41465">
        <w:rPr>
          <w:sz w:val="28"/>
          <w:szCs w:val="28"/>
        </w:rPr>
        <w:t xml:space="preserve">За счет средств бюджета Республики Башкортостан по этому разделу предусмотрены субсидии на осуществление мероприятий по строительству инженерных коммуникаций к районам индивидуальной и массовой застройки </w:t>
      </w:r>
      <w:r>
        <w:rPr>
          <w:sz w:val="28"/>
          <w:szCs w:val="28"/>
        </w:rPr>
        <w:t>в сумме</w:t>
      </w:r>
      <w:r w:rsidRPr="00D41465">
        <w:rPr>
          <w:sz w:val="28"/>
          <w:szCs w:val="28"/>
        </w:rPr>
        <w:t xml:space="preserve"> 23,1 млн. рублей.</w:t>
      </w:r>
    </w:p>
    <w:p w:rsidR="00C938F9" w:rsidRPr="009241F8" w:rsidRDefault="003968B8" w:rsidP="00C9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38F9" w:rsidRPr="009241F8">
        <w:rPr>
          <w:sz w:val="28"/>
          <w:szCs w:val="28"/>
        </w:rPr>
        <w:t>а софинансирование республиканских программ</w:t>
      </w:r>
      <w:r w:rsidRPr="003968B8">
        <w:rPr>
          <w:sz w:val="28"/>
          <w:szCs w:val="28"/>
        </w:rPr>
        <w:t xml:space="preserve"> </w:t>
      </w:r>
      <w:r w:rsidRPr="009241F8">
        <w:rPr>
          <w:sz w:val="28"/>
          <w:szCs w:val="28"/>
        </w:rPr>
        <w:t>планируется направить средства</w:t>
      </w:r>
      <w:r>
        <w:rPr>
          <w:sz w:val="28"/>
          <w:szCs w:val="28"/>
        </w:rPr>
        <w:t xml:space="preserve"> в сумме 4,2 млн. рублей</w:t>
      </w:r>
      <w:r w:rsidR="00C938F9" w:rsidRPr="009241F8">
        <w:rPr>
          <w:sz w:val="28"/>
          <w:szCs w:val="28"/>
        </w:rPr>
        <w:t>, в т.ч.:</w:t>
      </w:r>
    </w:p>
    <w:p w:rsidR="00C938F9" w:rsidRPr="00930CD4" w:rsidRDefault="00C938F9" w:rsidP="00C938F9">
      <w:pPr>
        <w:ind w:firstLine="709"/>
        <w:jc w:val="both"/>
      </w:pPr>
      <w:r w:rsidRPr="00930CD4">
        <w:rPr>
          <w:sz w:val="28"/>
          <w:szCs w:val="28"/>
        </w:rPr>
        <w:t>- на подготовку объектов жилищно-коммунального хозяйства к работе в зимний период – 3,5 млн. рублей;</w:t>
      </w:r>
      <w:r w:rsidRPr="00930CD4">
        <w:t xml:space="preserve"> </w:t>
      </w:r>
    </w:p>
    <w:p w:rsidR="00C938F9" w:rsidRPr="002C5C22" w:rsidRDefault="00C938F9" w:rsidP="00C938F9">
      <w:pPr>
        <w:ind w:firstLine="709"/>
        <w:jc w:val="both"/>
        <w:rPr>
          <w:sz w:val="28"/>
          <w:szCs w:val="28"/>
        </w:rPr>
      </w:pPr>
      <w:r w:rsidRPr="002C5C22">
        <w:t xml:space="preserve">- </w:t>
      </w:r>
      <w:r w:rsidRPr="002C5C22">
        <w:rPr>
          <w:sz w:val="28"/>
          <w:szCs w:val="28"/>
        </w:rPr>
        <w:t>на строительство инженерных коммуникаций водоснабжения в Михайловке – 393,0 тыс. рублей.</w:t>
      </w:r>
    </w:p>
    <w:p w:rsidR="00C938F9" w:rsidRPr="00C902D8" w:rsidRDefault="00C938F9" w:rsidP="00C938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CE0">
        <w:rPr>
          <w:sz w:val="28"/>
          <w:szCs w:val="28"/>
        </w:rPr>
        <w:t xml:space="preserve">Раздел </w:t>
      </w:r>
      <w:r w:rsidRPr="00315716">
        <w:rPr>
          <w:b/>
          <w:sz w:val="28"/>
          <w:szCs w:val="28"/>
        </w:rPr>
        <w:t>«Образование»</w:t>
      </w:r>
      <w:r w:rsidRPr="00C902D8">
        <w:rPr>
          <w:sz w:val="28"/>
          <w:szCs w:val="28"/>
        </w:rPr>
        <w:t xml:space="preserve"> включает расходы бюджета </w:t>
      </w:r>
      <w:r>
        <w:rPr>
          <w:sz w:val="28"/>
          <w:szCs w:val="28"/>
        </w:rPr>
        <w:t>городского округа</w:t>
      </w:r>
      <w:r w:rsidRPr="00C902D8">
        <w:rPr>
          <w:sz w:val="28"/>
          <w:szCs w:val="28"/>
        </w:rPr>
        <w:t xml:space="preserve"> на обеспечение доступности дошкольного образования, развитие общего образования, системы дополнительного образования, развити</w:t>
      </w:r>
      <w:r>
        <w:rPr>
          <w:sz w:val="28"/>
          <w:szCs w:val="28"/>
        </w:rPr>
        <w:t>е</w:t>
      </w:r>
      <w:r w:rsidRPr="00C902D8">
        <w:rPr>
          <w:sz w:val="28"/>
          <w:szCs w:val="28"/>
        </w:rPr>
        <w:t xml:space="preserve"> молодых талантов, поддержку всех форм семейного устройства детей-сирот, </w:t>
      </w:r>
      <w:r w:rsidRPr="00C902D8">
        <w:rPr>
          <w:rFonts w:eastAsia="Calibri"/>
          <w:sz w:val="28"/>
          <w:szCs w:val="28"/>
          <w:lang w:eastAsia="en-US"/>
        </w:rPr>
        <w:t>строительство и реконструкци</w:t>
      </w:r>
      <w:r>
        <w:rPr>
          <w:rFonts w:eastAsia="Calibri"/>
          <w:sz w:val="28"/>
          <w:szCs w:val="28"/>
          <w:lang w:eastAsia="en-US"/>
        </w:rPr>
        <w:t>ю</w:t>
      </w:r>
      <w:r w:rsidRPr="00C902D8">
        <w:rPr>
          <w:rFonts w:eastAsia="Calibri"/>
          <w:sz w:val="28"/>
          <w:szCs w:val="28"/>
          <w:lang w:eastAsia="en-US"/>
        </w:rPr>
        <w:t xml:space="preserve"> образовательных учреждений, укрепление их материально-технической базы, развитие кадрового потенциала.</w:t>
      </w:r>
    </w:p>
    <w:p w:rsidR="00C938F9" w:rsidRDefault="00C938F9" w:rsidP="00C938F9">
      <w:pPr>
        <w:ind w:firstLine="709"/>
        <w:jc w:val="both"/>
        <w:rPr>
          <w:sz w:val="28"/>
          <w:szCs w:val="28"/>
        </w:rPr>
      </w:pPr>
      <w:r w:rsidRPr="00D41465">
        <w:rPr>
          <w:sz w:val="28"/>
          <w:szCs w:val="28"/>
        </w:rPr>
        <w:t xml:space="preserve">Планируемый объем расходов бюджета городского округа город Нефтекамск Республики Башкортостан по разделу </w:t>
      </w:r>
      <w:r w:rsidRPr="00315716">
        <w:rPr>
          <w:sz w:val="28"/>
          <w:szCs w:val="28"/>
        </w:rPr>
        <w:t>«Образование»</w:t>
      </w:r>
      <w:r w:rsidRPr="00D41465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D41465">
        <w:rPr>
          <w:sz w:val="28"/>
          <w:szCs w:val="28"/>
        </w:rPr>
        <w:t xml:space="preserve"> год составляет</w:t>
      </w:r>
      <w:r w:rsidRPr="0094266B">
        <w:rPr>
          <w:color w:val="FF0000"/>
          <w:sz w:val="28"/>
          <w:szCs w:val="28"/>
        </w:rPr>
        <w:t xml:space="preserve"> </w:t>
      </w:r>
      <w:r w:rsidRPr="00ED38B4">
        <w:rPr>
          <w:sz w:val="28"/>
          <w:szCs w:val="28"/>
        </w:rPr>
        <w:t>1</w:t>
      </w:r>
      <w:r w:rsidR="004A5293">
        <w:rPr>
          <w:sz w:val="28"/>
          <w:szCs w:val="28"/>
        </w:rPr>
        <w:t xml:space="preserve"> </w:t>
      </w:r>
      <w:r w:rsidRPr="00ED38B4">
        <w:rPr>
          <w:sz w:val="28"/>
          <w:szCs w:val="28"/>
        </w:rPr>
        <w:t>548,5 млн. рублей</w:t>
      </w:r>
      <w:r>
        <w:rPr>
          <w:sz w:val="28"/>
          <w:szCs w:val="28"/>
        </w:rPr>
        <w:t xml:space="preserve"> (</w:t>
      </w:r>
      <w:r w:rsidRPr="00D41465">
        <w:rPr>
          <w:sz w:val="28"/>
          <w:szCs w:val="28"/>
        </w:rPr>
        <w:t xml:space="preserve">в т.ч. расходы на молодежную политику – </w:t>
      </w:r>
      <w:r>
        <w:rPr>
          <w:sz w:val="28"/>
          <w:szCs w:val="28"/>
        </w:rPr>
        <w:t>17,2</w:t>
      </w:r>
      <w:r w:rsidRPr="00D41465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) на 1,7</w:t>
      </w:r>
      <w:r w:rsidR="007731E0" w:rsidRPr="007731E0">
        <w:rPr>
          <w:bCs/>
          <w:sz w:val="28"/>
          <w:szCs w:val="28"/>
        </w:rPr>
        <w:t xml:space="preserve"> </w:t>
      </w:r>
      <w:r w:rsidR="007731E0" w:rsidRPr="002E7A0C">
        <w:rPr>
          <w:bCs/>
          <w:sz w:val="28"/>
          <w:szCs w:val="28"/>
        </w:rPr>
        <w:t>процента</w:t>
      </w:r>
      <w:r>
        <w:rPr>
          <w:sz w:val="28"/>
          <w:szCs w:val="28"/>
        </w:rPr>
        <w:t xml:space="preserve"> или на </w:t>
      </w:r>
      <w:r w:rsidRPr="00EB2412">
        <w:rPr>
          <w:sz w:val="28"/>
          <w:szCs w:val="28"/>
        </w:rPr>
        <w:t>26,1 млн. рублей выше утвержденного плана на 2016 год</w:t>
      </w:r>
      <w:r>
        <w:rPr>
          <w:sz w:val="28"/>
          <w:szCs w:val="28"/>
        </w:rPr>
        <w:t>.</w:t>
      </w:r>
    </w:p>
    <w:p w:rsidR="00C938F9" w:rsidRPr="00EB2412" w:rsidRDefault="00C938F9" w:rsidP="00C938F9">
      <w:pPr>
        <w:ind w:firstLine="709"/>
        <w:jc w:val="both"/>
        <w:rPr>
          <w:sz w:val="28"/>
          <w:szCs w:val="28"/>
        </w:rPr>
      </w:pPr>
      <w:r w:rsidRPr="00EB2412">
        <w:rPr>
          <w:sz w:val="28"/>
          <w:szCs w:val="28"/>
        </w:rPr>
        <w:t>Доля расходов на образование в общем объеме расходной части бюджета составляет 70,</w:t>
      </w:r>
      <w:r w:rsidR="008A0EF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731E0" w:rsidRPr="002E7A0C">
        <w:rPr>
          <w:bCs/>
          <w:sz w:val="28"/>
          <w:szCs w:val="28"/>
        </w:rPr>
        <w:t>процента</w:t>
      </w:r>
      <w:r>
        <w:rPr>
          <w:sz w:val="28"/>
          <w:szCs w:val="28"/>
        </w:rPr>
        <w:t>.</w:t>
      </w:r>
      <w:r w:rsidRPr="00EB2412">
        <w:rPr>
          <w:sz w:val="28"/>
          <w:szCs w:val="28"/>
        </w:rPr>
        <w:t xml:space="preserve"> </w:t>
      </w:r>
    </w:p>
    <w:p w:rsidR="00C938F9" w:rsidRPr="00ED38B4" w:rsidRDefault="00C938F9" w:rsidP="00C938F9">
      <w:pPr>
        <w:ind w:firstLine="709"/>
        <w:jc w:val="both"/>
        <w:rPr>
          <w:sz w:val="28"/>
          <w:szCs w:val="28"/>
        </w:rPr>
      </w:pPr>
      <w:r w:rsidRPr="00ED38B4">
        <w:rPr>
          <w:sz w:val="28"/>
          <w:szCs w:val="28"/>
        </w:rPr>
        <w:t>Расходы планируются в рамках следующих муниципальных программ:</w:t>
      </w:r>
    </w:p>
    <w:p w:rsidR="00C938F9" w:rsidRPr="00ED38B4" w:rsidRDefault="00C938F9" w:rsidP="00C938F9">
      <w:pPr>
        <w:ind w:firstLine="709"/>
        <w:jc w:val="both"/>
        <w:rPr>
          <w:sz w:val="28"/>
          <w:szCs w:val="28"/>
        </w:rPr>
      </w:pPr>
      <w:r w:rsidRPr="00ED38B4">
        <w:rPr>
          <w:sz w:val="28"/>
          <w:szCs w:val="28"/>
        </w:rPr>
        <w:t>- «Развитие образования городского округа город Нефтекамск Республики Башкортостан»;</w:t>
      </w:r>
    </w:p>
    <w:p w:rsidR="00C938F9" w:rsidRPr="00ED38B4" w:rsidRDefault="00C938F9" w:rsidP="00C938F9">
      <w:pPr>
        <w:ind w:firstLine="709"/>
        <w:jc w:val="both"/>
        <w:rPr>
          <w:sz w:val="28"/>
          <w:szCs w:val="28"/>
        </w:rPr>
      </w:pPr>
      <w:r w:rsidRPr="00ED38B4">
        <w:rPr>
          <w:sz w:val="28"/>
          <w:szCs w:val="28"/>
        </w:rPr>
        <w:t>- «Развитие детско-юношеского спорта в городском округе город Нефтекамск Республики Башкортостан»;</w:t>
      </w:r>
    </w:p>
    <w:p w:rsidR="00C938F9" w:rsidRPr="00ED38B4" w:rsidRDefault="00C938F9" w:rsidP="00C938F9">
      <w:pPr>
        <w:ind w:firstLine="709"/>
        <w:jc w:val="both"/>
        <w:rPr>
          <w:sz w:val="28"/>
          <w:szCs w:val="28"/>
        </w:rPr>
      </w:pPr>
      <w:r w:rsidRPr="00ED38B4">
        <w:rPr>
          <w:sz w:val="28"/>
          <w:szCs w:val="28"/>
        </w:rPr>
        <w:t>- «Развитие культуры искусства городского округа город Нефтекамск Республики Башкортостан»;</w:t>
      </w:r>
    </w:p>
    <w:p w:rsidR="00C938F9" w:rsidRPr="00ED38B4" w:rsidRDefault="00C938F9" w:rsidP="00C938F9">
      <w:pPr>
        <w:ind w:firstLine="709"/>
        <w:jc w:val="both"/>
        <w:rPr>
          <w:sz w:val="28"/>
          <w:szCs w:val="28"/>
        </w:rPr>
      </w:pPr>
      <w:r w:rsidRPr="00ED38B4">
        <w:rPr>
          <w:sz w:val="28"/>
          <w:szCs w:val="28"/>
        </w:rPr>
        <w:t>- «Молодежь городского округа город Нефтекамск Республики Башкортостан».</w:t>
      </w:r>
    </w:p>
    <w:p w:rsidR="00C938F9" w:rsidRPr="003B7A37" w:rsidRDefault="00C938F9" w:rsidP="00C938F9">
      <w:pPr>
        <w:ind w:firstLine="709"/>
        <w:jc w:val="both"/>
        <w:rPr>
          <w:sz w:val="28"/>
          <w:szCs w:val="28"/>
        </w:rPr>
      </w:pPr>
      <w:r w:rsidRPr="00D41465">
        <w:rPr>
          <w:sz w:val="28"/>
          <w:szCs w:val="28"/>
        </w:rPr>
        <w:lastRenderedPageBreak/>
        <w:t xml:space="preserve">В 2017 году расходы на образование определены для обеспечения конституционных прав граждан на образование и воспитание в </w:t>
      </w:r>
      <w:r w:rsidRPr="003B7A37">
        <w:rPr>
          <w:sz w:val="28"/>
          <w:szCs w:val="28"/>
        </w:rPr>
        <w:t>62 образовательных учреждениях города, из которых:</w:t>
      </w:r>
    </w:p>
    <w:p w:rsidR="00C938F9" w:rsidRPr="00D41465" w:rsidRDefault="00C938F9" w:rsidP="00C938F9">
      <w:pPr>
        <w:ind w:firstLine="709"/>
        <w:jc w:val="both"/>
        <w:rPr>
          <w:sz w:val="28"/>
          <w:szCs w:val="28"/>
        </w:rPr>
      </w:pPr>
      <w:r w:rsidRPr="00D41465">
        <w:rPr>
          <w:sz w:val="28"/>
          <w:szCs w:val="28"/>
        </w:rPr>
        <w:t>- 1 Муниципальное казенное учреждение Управление образования администрации городского округа город Нефтекамск Республики Башкортостан;</w:t>
      </w:r>
    </w:p>
    <w:p w:rsidR="00C938F9" w:rsidRPr="00B636C7" w:rsidRDefault="00C938F9" w:rsidP="00C938F9">
      <w:pPr>
        <w:ind w:firstLine="709"/>
        <w:jc w:val="both"/>
        <w:rPr>
          <w:sz w:val="28"/>
          <w:szCs w:val="28"/>
        </w:rPr>
      </w:pPr>
      <w:r w:rsidRPr="00B636C7">
        <w:rPr>
          <w:sz w:val="28"/>
          <w:szCs w:val="28"/>
        </w:rPr>
        <w:t xml:space="preserve">- 31 дошкольное образовательное учреждение с количеством детей </w:t>
      </w:r>
      <w:r w:rsidR="004A5293">
        <w:rPr>
          <w:sz w:val="28"/>
          <w:szCs w:val="28"/>
        </w:rPr>
        <w:t xml:space="preserve">                </w:t>
      </w:r>
      <w:r w:rsidRPr="00B636C7">
        <w:rPr>
          <w:sz w:val="28"/>
          <w:szCs w:val="28"/>
        </w:rPr>
        <w:t>10</w:t>
      </w:r>
      <w:r w:rsidR="004A5293">
        <w:rPr>
          <w:sz w:val="28"/>
          <w:szCs w:val="28"/>
        </w:rPr>
        <w:t xml:space="preserve"> </w:t>
      </w:r>
      <w:r w:rsidRPr="00B636C7">
        <w:rPr>
          <w:sz w:val="28"/>
          <w:szCs w:val="28"/>
        </w:rPr>
        <w:t>667 человек</w:t>
      </w:r>
      <w:r w:rsidR="00FF0591">
        <w:rPr>
          <w:sz w:val="28"/>
          <w:szCs w:val="28"/>
        </w:rPr>
        <w:t>,</w:t>
      </w:r>
      <w:r w:rsidRPr="00B636C7">
        <w:rPr>
          <w:sz w:val="28"/>
          <w:szCs w:val="28"/>
        </w:rPr>
        <w:t xml:space="preserve"> </w:t>
      </w:r>
      <w:r w:rsidR="00DF25FA">
        <w:rPr>
          <w:sz w:val="28"/>
          <w:szCs w:val="28"/>
        </w:rPr>
        <w:t>на 597 человек больше в 2016 году</w:t>
      </w:r>
      <w:r w:rsidRPr="00B636C7">
        <w:rPr>
          <w:sz w:val="28"/>
          <w:szCs w:val="28"/>
        </w:rPr>
        <w:t>;</w:t>
      </w:r>
    </w:p>
    <w:p w:rsidR="00C938F9" w:rsidRPr="00B636C7" w:rsidRDefault="00C938F9" w:rsidP="00C938F9">
      <w:pPr>
        <w:ind w:firstLine="709"/>
        <w:jc w:val="both"/>
        <w:rPr>
          <w:sz w:val="28"/>
          <w:szCs w:val="28"/>
        </w:rPr>
      </w:pPr>
      <w:r w:rsidRPr="00B636C7">
        <w:rPr>
          <w:sz w:val="28"/>
          <w:szCs w:val="28"/>
        </w:rPr>
        <w:t xml:space="preserve">- 18 общеобразовательных учреждений с количеством учащихся     </w:t>
      </w:r>
      <w:r w:rsidR="004A5293">
        <w:rPr>
          <w:sz w:val="28"/>
          <w:szCs w:val="28"/>
        </w:rPr>
        <w:t xml:space="preserve">            </w:t>
      </w:r>
      <w:r w:rsidRPr="00B636C7">
        <w:rPr>
          <w:sz w:val="28"/>
          <w:szCs w:val="28"/>
        </w:rPr>
        <w:t xml:space="preserve">   15</w:t>
      </w:r>
      <w:r w:rsidR="004A5293">
        <w:rPr>
          <w:sz w:val="28"/>
          <w:szCs w:val="28"/>
        </w:rPr>
        <w:t xml:space="preserve"> </w:t>
      </w:r>
      <w:r w:rsidRPr="00B636C7">
        <w:rPr>
          <w:sz w:val="28"/>
          <w:szCs w:val="28"/>
        </w:rPr>
        <w:t>673 человек</w:t>
      </w:r>
      <w:r w:rsidR="00FF0591">
        <w:rPr>
          <w:sz w:val="28"/>
          <w:szCs w:val="28"/>
        </w:rPr>
        <w:t>,</w:t>
      </w:r>
      <w:r w:rsidRPr="00B636C7">
        <w:rPr>
          <w:sz w:val="28"/>
          <w:szCs w:val="28"/>
        </w:rPr>
        <w:t xml:space="preserve"> </w:t>
      </w:r>
      <w:r w:rsidR="00DF25FA">
        <w:rPr>
          <w:sz w:val="28"/>
          <w:szCs w:val="28"/>
        </w:rPr>
        <w:t>на 599 человек больше в 2016 году</w:t>
      </w:r>
      <w:r w:rsidR="00DF25FA" w:rsidRPr="00B636C7">
        <w:rPr>
          <w:sz w:val="28"/>
          <w:szCs w:val="28"/>
        </w:rPr>
        <w:t>;</w:t>
      </w:r>
    </w:p>
    <w:p w:rsidR="00C938F9" w:rsidRPr="003B7A37" w:rsidRDefault="00C938F9" w:rsidP="00C938F9">
      <w:pPr>
        <w:ind w:firstLine="709"/>
        <w:jc w:val="both"/>
        <w:rPr>
          <w:sz w:val="28"/>
          <w:szCs w:val="28"/>
        </w:rPr>
      </w:pPr>
      <w:r w:rsidRPr="00ED38B4">
        <w:rPr>
          <w:sz w:val="28"/>
          <w:szCs w:val="28"/>
        </w:rPr>
        <w:t>- 10 образовательных учреждений дополнительного образования с количеством учащихся</w:t>
      </w:r>
      <w:r w:rsidRPr="0094266B">
        <w:rPr>
          <w:color w:val="FF0000"/>
          <w:sz w:val="28"/>
          <w:szCs w:val="28"/>
        </w:rPr>
        <w:t xml:space="preserve"> </w:t>
      </w:r>
      <w:r w:rsidRPr="003B7A37">
        <w:rPr>
          <w:sz w:val="28"/>
          <w:szCs w:val="28"/>
        </w:rPr>
        <w:t>17</w:t>
      </w:r>
      <w:r w:rsidR="004A5293">
        <w:rPr>
          <w:sz w:val="28"/>
          <w:szCs w:val="28"/>
        </w:rPr>
        <w:t xml:space="preserve"> </w:t>
      </w:r>
      <w:r w:rsidRPr="003B7A37">
        <w:rPr>
          <w:sz w:val="28"/>
          <w:szCs w:val="28"/>
        </w:rPr>
        <w:t>198 человек</w:t>
      </w:r>
      <w:r w:rsidR="00FF0591">
        <w:rPr>
          <w:sz w:val="28"/>
          <w:szCs w:val="28"/>
        </w:rPr>
        <w:t>,</w:t>
      </w:r>
      <w:r w:rsidRPr="003B7A37">
        <w:rPr>
          <w:sz w:val="28"/>
          <w:szCs w:val="28"/>
        </w:rPr>
        <w:t xml:space="preserve"> </w:t>
      </w:r>
      <w:r w:rsidR="00DF25FA">
        <w:rPr>
          <w:sz w:val="28"/>
          <w:szCs w:val="28"/>
        </w:rPr>
        <w:t xml:space="preserve">на 831 человек больше чем </w:t>
      </w:r>
      <w:r w:rsidRPr="003B7A37">
        <w:rPr>
          <w:sz w:val="28"/>
          <w:szCs w:val="28"/>
        </w:rPr>
        <w:t>в 2016 году;</w:t>
      </w:r>
    </w:p>
    <w:p w:rsidR="00C938F9" w:rsidRPr="00D41465" w:rsidRDefault="00C938F9" w:rsidP="00C938F9">
      <w:pPr>
        <w:ind w:firstLine="709"/>
        <w:jc w:val="both"/>
        <w:rPr>
          <w:sz w:val="28"/>
          <w:szCs w:val="28"/>
        </w:rPr>
      </w:pPr>
      <w:r w:rsidRPr="00D41465">
        <w:rPr>
          <w:sz w:val="28"/>
          <w:szCs w:val="28"/>
        </w:rPr>
        <w:t xml:space="preserve">- 1 автономное учреждение детский оздоровительный лагерь «Бригантина» с количеством детей в трех заездах </w:t>
      </w:r>
      <w:r>
        <w:rPr>
          <w:sz w:val="28"/>
          <w:szCs w:val="28"/>
        </w:rPr>
        <w:t>690 человек</w:t>
      </w:r>
      <w:r w:rsidRPr="00D41465">
        <w:rPr>
          <w:sz w:val="28"/>
          <w:szCs w:val="28"/>
        </w:rPr>
        <w:t>;</w:t>
      </w:r>
    </w:p>
    <w:p w:rsidR="00C938F9" w:rsidRPr="00D41465" w:rsidRDefault="00C938F9" w:rsidP="00C938F9">
      <w:pPr>
        <w:ind w:firstLine="709"/>
        <w:jc w:val="both"/>
        <w:rPr>
          <w:sz w:val="28"/>
          <w:szCs w:val="28"/>
        </w:rPr>
      </w:pPr>
      <w:r w:rsidRPr="00D41465">
        <w:rPr>
          <w:sz w:val="28"/>
          <w:szCs w:val="28"/>
        </w:rPr>
        <w:t>- Муниципальное бюджетное учреждение Информационно-методический центр городского округа город Нефтекамск Республики Башкортостан;</w:t>
      </w:r>
    </w:p>
    <w:p w:rsidR="00C938F9" w:rsidRPr="00D41465" w:rsidRDefault="00C938F9" w:rsidP="00C938F9">
      <w:pPr>
        <w:ind w:firstLine="709"/>
        <w:jc w:val="both"/>
        <w:rPr>
          <w:sz w:val="28"/>
          <w:szCs w:val="28"/>
        </w:rPr>
      </w:pPr>
      <w:r w:rsidRPr="00D41465">
        <w:rPr>
          <w:sz w:val="28"/>
          <w:szCs w:val="28"/>
        </w:rPr>
        <w:t xml:space="preserve">- Муниципальное бюджетное учреждение «Комитет по делам молодежи городского округа </w:t>
      </w:r>
      <w:r w:rsidRPr="00ED38B4">
        <w:rPr>
          <w:sz w:val="28"/>
          <w:szCs w:val="28"/>
        </w:rPr>
        <w:t>город Нефтекамск Республики Башкортостан» с количеством посе</w:t>
      </w:r>
      <w:r>
        <w:rPr>
          <w:sz w:val="28"/>
          <w:szCs w:val="28"/>
        </w:rPr>
        <w:t>тителей</w:t>
      </w:r>
      <w:r w:rsidRPr="00ED38B4">
        <w:rPr>
          <w:sz w:val="28"/>
          <w:szCs w:val="28"/>
        </w:rPr>
        <w:t xml:space="preserve"> 1 913</w:t>
      </w:r>
      <w:r w:rsidRPr="00D41465">
        <w:rPr>
          <w:sz w:val="28"/>
          <w:szCs w:val="28"/>
        </w:rPr>
        <w:t xml:space="preserve"> человек. </w:t>
      </w:r>
    </w:p>
    <w:p w:rsidR="00C938F9" w:rsidRPr="00D41465" w:rsidRDefault="00C938F9" w:rsidP="00C938F9">
      <w:pPr>
        <w:ind w:firstLine="709"/>
        <w:jc w:val="both"/>
        <w:rPr>
          <w:sz w:val="28"/>
          <w:szCs w:val="28"/>
        </w:rPr>
      </w:pPr>
      <w:r w:rsidRPr="00D41465">
        <w:rPr>
          <w:sz w:val="28"/>
          <w:szCs w:val="28"/>
        </w:rPr>
        <w:t xml:space="preserve">Прогнозируемый объем расходов на образование в разрезе учреждений </w:t>
      </w:r>
      <w:r>
        <w:rPr>
          <w:sz w:val="28"/>
          <w:szCs w:val="28"/>
        </w:rPr>
        <w:t>выглядит следующим образом</w:t>
      </w:r>
      <w:r w:rsidRPr="00D41465">
        <w:rPr>
          <w:sz w:val="28"/>
          <w:szCs w:val="28"/>
        </w:rPr>
        <w:t>:</w:t>
      </w:r>
    </w:p>
    <w:p w:rsidR="00C938F9" w:rsidRPr="0094266B" w:rsidRDefault="00C938F9" w:rsidP="00C938F9">
      <w:pPr>
        <w:pStyle w:val="aa"/>
        <w:ind w:firstLine="709"/>
        <w:rPr>
          <w:color w:val="FF0000"/>
          <w:szCs w:val="28"/>
        </w:rPr>
      </w:pPr>
      <w:r w:rsidRPr="007F574A">
        <w:rPr>
          <w:szCs w:val="28"/>
        </w:rPr>
        <w:t>- на дошкольные образовательные учреждения</w:t>
      </w:r>
      <w:r w:rsidRPr="0094266B">
        <w:rPr>
          <w:color w:val="FF0000"/>
          <w:szCs w:val="28"/>
        </w:rPr>
        <w:t xml:space="preserve"> </w:t>
      </w:r>
      <w:r w:rsidRPr="00305124">
        <w:rPr>
          <w:szCs w:val="28"/>
        </w:rPr>
        <w:t xml:space="preserve">– 580,8 млн. рублей, что на 28,5 млн. рублей или на 5,1 </w:t>
      </w:r>
      <w:r w:rsidR="007731E0" w:rsidRPr="002E7A0C">
        <w:rPr>
          <w:bCs/>
          <w:szCs w:val="28"/>
        </w:rPr>
        <w:t>процента</w:t>
      </w:r>
      <w:r w:rsidRPr="00305124">
        <w:rPr>
          <w:szCs w:val="28"/>
        </w:rPr>
        <w:t xml:space="preserve"> выше </w:t>
      </w:r>
      <w:r>
        <w:rPr>
          <w:szCs w:val="28"/>
        </w:rPr>
        <w:t xml:space="preserve">утвержденного </w:t>
      </w:r>
      <w:r w:rsidRPr="00305124">
        <w:rPr>
          <w:szCs w:val="28"/>
        </w:rPr>
        <w:t>показателя 2016 года;</w:t>
      </w:r>
    </w:p>
    <w:p w:rsidR="00C938F9" w:rsidRPr="00F73B31" w:rsidRDefault="00C938F9" w:rsidP="00C938F9">
      <w:pPr>
        <w:pStyle w:val="aa"/>
        <w:ind w:firstLine="709"/>
        <w:rPr>
          <w:szCs w:val="28"/>
        </w:rPr>
      </w:pPr>
      <w:r w:rsidRPr="007F574A">
        <w:rPr>
          <w:szCs w:val="28"/>
        </w:rPr>
        <w:t>- на общеобразовательные учреждения</w:t>
      </w:r>
      <w:r w:rsidRPr="0094266B">
        <w:rPr>
          <w:color w:val="FF0000"/>
          <w:szCs w:val="28"/>
        </w:rPr>
        <w:t xml:space="preserve"> </w:t>
      </w:r>
      <w:r w:rsidRPr="00F73B31">
        <w:rPr>
          <w:szCs w:val="28"/>
        </w:rPr>
        <w:t>– 664,3 млн. рублей, на 2,6 млн. рублей выше уровня 2016 года;</w:t>
      </w:r>
    </w:p>
    <w:p w:rsidR="00C938F9" w:rsidRPr="00F73B31" w:rsidRDefault="00C938F9" w:rsidP="00C938F9">
      <w:pPr>
        <w:pStyle w:val="aa"/>
        <w:ind w:firstLine="709"/>
        <w:rPr>
          <w:szCs w:val="28"/>
        </w:rPr>
      </w:pPr>
      <w:r w:rsidRPr="007F574A">
        <w:rPr>
          <w:szCs w:val="28"/>
        </w:rPr>
        <w:t>- на учреждения по внешкольной работе с детьми</w:t>
      </w:r>
      <w:r w:rsidRPr="0094266B">
        <w:rPr>
          <w:color w:val="FF0000"/>
          <w:szCs w:val="28"/>
        </w:rPr>
        <w:t xml:space="preserve"> </w:t>
      </w:r>
      <w:r w:rsidRPr="00F73B31">
        <w:rPr>
          <w:szCs w:val="28"/>
        </w:rPr>
        <w:t xml:space="preserve">– 184,7 млн. рублей, на 12,6 млн. рублей выше уровня 2016 года; </w:t>
      </w:r>
    </w:p>
    <w:p w:rsidR="00C938F9" w:rsidRDefault="00C938F9" w:rsidP="00C938F9">
      <w:pPr>
        <w:pStyle w:val="aa"/>
        <w:ind w:firstLine="709"/>
        <w:rPr>
          <w:szCs w:val="28"/>
        </w:rPr>
      </w:pPr>
      <w:r w:rsidRPr="00F73B31">
        <w:rPr>
          <w:szCs w:val="28"/>
        </w:rPr>
        <w:t>- на автономное учреждение детский оздоровительный</w:t>
      </w:r>
      <w:r w:rsidRPr="007F574A">
        <w:rPr>
          <w:szCs w:val="28"/>
        </w:rPr>
        <w:t xml:space="preserve"> лагерь «Бригантина»</w:t>
      </w:r>
      <w:r w:rsidRPr="0094266B">
        <w:rPr>
          <w:color w:val="FF0000"/>
          <w:szCs w:val="28"/>
        </w:rPr>
        <w:t xml:space="preserve"> </w:t>
      </w:r>
      <w:r w:rsidRPr="00BA6E2C">
        <w:rPr>
          <w:szCs w:val="28"/>
        </w:rPr>
        <w:t>– 3,8 млн. рублей</w:t>
      </w:r>
      <w:r>
        <w:rPr>
          <w:szCs w:val="28"/>
        </w:rPr>
        <w:t>, на 1,9 млн</w:t>
      </w:r>
      <w:r w:rsidRPr="00BA6E2C">
        <w:rPr>
          <w:szCs w:val="28"/>
        </w:rPr>
        <w:t>.</w:t>
      </w:r>
      <w:r>
        <w:rPr>
          <w:szCs w:val="28"/>
        </w:rPr>
        <w:t xml:space="preserve"> рублей меньше утвержденного показателя на 2016 год в связи с тем, что в плане 2016 года был предусмотрен капитальный ремонт (открытого кинозала, комнаты персонала, оконных блоков и др.);</w:t>
      </w:r>
    </w:p>
    <w:p w:rsidR="00C938F9" w:rsidRPr="00AF4A60" w:rsidRDefault="00C938F9" w:rsidP="00C938F9">
      <w:pPr>
        <w:ind w:firstLine="709"/>
        <w:jc w:val="both"/>
        <w:rPr>
          <w:sz w:val="28"/>
          <w:szCs w:val="28"/>
        </w:rPr>
      </w:pPr>
      <w:r w:rsidRPr="00AF4A60">
        <w:rPr>
          <w:sz w:val="28"/>
          <w:szCs w:val="28"/>
        </w:rPr>
        <w:t>- на учреждения молодежной политики – 15,8 млн. рублей,</w:t>
      </w:r>
      <w:r w:rsidRPr="0094266B">
        <w:rPr>
          <w:color w:val="FF0000"/>
          <w:sz w:val="28"/>
          <w:szCs w:val="28"/>
        </w:rPr>
        <w:t xml:space="preserve"> </w:t>
      </w:r>
      <w:r w:rsidRPr="00AF4A60">
        <w:rPr>
          <w:sz w:val="28"/>
          <w:szCs w:val="28"/>
        </w:rPr>
        <w:t>на 0,3 млн. рублей выше уровне 201</w:t>
      </w:r>
      <w:r>
        <w:rPr>
          <w:sz w:val="28"/>
          <w:szCs w:val="28"/>
        </w:rPr>
        <w:t>6</w:t>
      </w:r>
      <w:r w:rsidRPr="00AF4A60">
        <w:rPr>
          <w:sz w:val="28"/>
          <w:szCs w:val="28"/>
        </w:rPr>
        <w:t xml:space="preserve"> года.</w:t>
      </w:r>
    </w:p>
    <w:p w:rsidR="00C938F9" w:rsidRDefault="00C938F9" w:rsidP="00C938F9">
      <w:pPr>
        <w:ind w:firstLine="709"/>
        <w:jc w:val="both"/>
        <w:rPr>
          <w:sz w:val="28"/>
          <w:szCs w:val="28"/>
        </w:rPr>
      </w:pPr>
      <w:r w:rsidRPr="00AF4A60">
        <w:rPr>
          <w:sz w:val="28"/>
          <w:szCs w:val="28"/>
        </w:rPr>
        <w:t>В составе расходов по разделу</w:t>
      </w:r>
      <w:r w:rsidR="00B416C8">
        <w:rPr>
          <w:sz w:val="28"/>
          <w:szCs w:val="28"/>
        </w:rPr>
        <w:t xml:space="preserve"> «Образование» также</w:t>
      </w:r>
      <w:r w:rsidRPr="00AF4A60">
        <w:rPr>
          <w:sz w:val="28"/>
          <w:szCs w:val="28"/>
        </w:rPr>
        <w:t xml:space="preserve"> </w:t>
      </w:r>
      <w:r w:rsidR="00B416C8">
        <w:rPr>
          <w:sz w:val="28"/>
          <w:szCs w:val="28"/>
        </w:rPr>
        <w:t>планир</w:t>
      </w:r>
      <w:r w:rsidRPr="00AF4A60">
        <w:rPr>
          <w:sz w:val="28"/>
          <w:szCs w:val="28"/>
        </w:rPr>
        <w:t>уются бюджетные ассигнования</w:t>
      </w:r>
      <w:r w:rsidRPr="0015772E">
        <w:rPr>
          <w:sz w:val="28"/>
          <w:szCs w:val="28"/>
        </w:rPr>
        <w:t xml:space="preserve"> за счет средств бюджета Республики Башкортостан:</w:t>
      </w:r>
    </w:p>
    <w:p w:rsidR="00C938F9" w:rsidRDefault="00C938F9" w:rsidP="00C9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труда работников дошкольных образовательных учреждений в сумме 371,1 млн. рублей на 11,6 млн. рублей выше уровня 2016 года;</w:t>
      </w:r>
    </w:p>
    <w:p w:rsidR="00C938F9" w:rsidRDefault="00C938F9" w:rsidP="00C9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оплату труда работников общеобразовательных учреждений в сумме 446,4 млн. рублей на 4,0 млн. рублей ниже уровня 2016 года;</w:t>
      </w:r>
    </w:p>
    <w:p w:rsidR="00C938F9" w:rsidRPr="0015772E" w:rsidRDefault="00C938F9" w:rsidP="00C9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учебников, учебных пособий, игр, игрушек для школ и детских садов в сумме 21,0 млн. рублей на 8,8 млн. рублей выше уровня 2016 года;</w:t>
      </w:r>
    </w:p>
    <w:p w:rsidR="00C938F9" w:rsidRPr="00D41465" w:rsidRDefault="00C938F9" w:rsidP="00C938F9">
      <w:pPr>
        <w:ind w:firstLine="709"/>
        <w:jc w:val="both"/>
        <w:rPr>
          <w:sz w:val="28"/>
          <w:szCs w:val="28"/>
        </w:rPr>
      </w:pPr>
      <w:r w:rsidRPr="00D41465">
        <w:rPr>
          <w:sz w:val="28"/>
          <w:szCs w:val="28"/>
        </w:rPr>
        <w:t>- на предоставление бесплатного проезда детей-сирот и детей, оставшихся без попечения родителей, в сумме 1,104 млн. рублей</w:t>
      </w:r>
      <w:r>
        <w:rPr>
          <w:sz w:val="28"/>
          <w:szCs w:val="28"/>
        </w:rPr>
        <w:t xml:space="preserve"> на 144,0 тыс. рублей выше уровня 2016 года</w:t>
      </w:r>
      <w:r w:rsidRPr="00D41465">
        <w:rPr>
          <w:sz w:val="28"/>
          <w:szCs w:val="28"/>
        </w:rPr>
        <w:t>;</w:t>
      </w:r>
    </w:p>
    <w:p w:rsidR="00C938F9" w:rsidRPr="0028020B" w:rsidRDefault="00C938F9" w:rsidP="00C938F9">
      <w:pPr>
        <w:ind w:firstLine="709"/>
        <w:jc w:val="both"/>
        <w:rPr>
          <w:sz w:val="28"/>
          <w:szCs w:val="28"/>
        </w:rPr>
      </w:pPr>
      <w:r w:rsidRPr="0028020B">
        <w:rPr>
          <w:sz w:val="28"/>
          <w:szCs w:val="28"/>
        </w:rPr>
        <w:t>- на финансирование расходов на оплату труда работников образовательных учреждений в сумме 817,5 млн. рублей, что на 7,6 млн. рублей выше прогнозных показателей 2016 года;</w:t>
      </w:r>
    </w:p>
    <w:p w:rsidR="00C938F9" w:rsidRPr="0028020B" w:rsidRDefault="00C938F9" w:rsidP="00C938F9">
      <w:pPr>
        <w:ind w:firstLine="709"/>
        <w:jc w:val="both"/>
        <w:rPr>
          <w:sz w:val="28"/>
          <w:szCs w:val="28"/>
        </w:rPr>
      </w:pPr>
      <w:r w:rsidRPr="0028020B">
        <w:rPr>
          <w:bCs/>
          <w:sz w:val="28"/>
          <w:szCs w:val="28"/>
        </w:rPr>
        <w:t xml:space="preserve">- на отдых и оздоровление детей-сирот и детей, оставшихся без попечения родителей </w:t>
      </w:r>
      <w:r w:rsidRPr="0028020B">
        <w:rPr>
          <w:sz w:val="28"/>
          <w:szCs w:val="28"/>
        </w:rPr>
        <w:t>в сумме 1,3 млн. рублей</w:t>
      </w:r>
      <w:r>
        <w:rPr>
          <w:sz w:val="28"/>
          <w:szCs w:val="28"/>
        </w:rPr>
        <w:t xml:space="preserve"> на 119,5 тыс.рублей ниже уровня 2016 года</w:t>
      </w:r>
      <w:r w:rsidRPr="0028020B">
        <w:rPr>
          <w:sz w:val="28"/>
          <w:szCs w:val="28"/>
        </w:rPr>
        <w:t>;</w:t>
      </w:r>
    </w:p>
    <w:p w:rsidR="00C938F9" w:rsidRPr="00E10768" w:rsidRDefault="00C938F9" w:rsidP="00C938F9">
      <w:pPr>
        <w:ind w:firstLine="709"/>
        <w:jc w:val="both"/>
        <w:rPr>
          <w:bCs/>
          <w:sz w:val="28"/>
          <w:szCs w:val="28"/>
        </w:rPr>
      </w:pPr>
      <w:r w:rsidRPr="0028020B">
        <w:rPr>
          <w:bCs/>
          <w:sz w:val="28"/>
          <w:szCs w:val="28"/>
        </w:rPr>
        <w:t>- на организацию и обеспечение отдыха и оздоровления детей (за исключением организации отдыха детей в каникулярное время) в сумме 24,7 млн. рублей</w:t>
      </w:r>
      <w:r>
        <w:rPr>
          <w:bCs/>
          <w:sz w:val="28"/>
          <w:szCs w:val="28"/>
        </w:rPr>
        <w:t xml:space="preserve"> на уровне 2016 года</w:t>
      </w:r>
      <w:r w:rsidRPr="0028020B">
        <w:rPr>
          <w:bCs/>
          <w:sz w:val="28"/>
          <w:szCs w:val="28"/>
        </w:rPr>
        <w:t>.</w:t>
      </w:r>
    </w:p>
    <w:p w:rsidR="00C938F9" w:rsidRPr="0028020B" w:rsidRDefault="00C938F9" w:rsidP="00C938F9">
      <w:pPr>
        <w:pStyle w:val="aa"/>
        <w:ind w:firstLine="709"/>
        <w:rPr>
          <w:szCs w:val="28"/>
        </w:rPr>
      </w:pPr>
      <w:r w:rsidRPr="0028020B">
        <w:rPr>
          <w:szCs w:val="28"/>
        </w:rPr>
        <w:t xml:space="preserve">В целом объем межбюджетных трансфертов по разделу «Образование» по сравнению с </w:t>
      </w:r>
      <w:r w:rsidR="00B416C8">
        <w:rPr>
          <w:szCs w:val="28"/>
        </w:rPr>
        <w:t xml:space="preserve">утвержденным объемом на </w:t>
      </w:r>
      <w:r w:rsidRPr="0028020B">
        <w:rPr>
          <w:szCs w:val="28"/>
        </w:rPr>
        <w:t>текущи</w:t>
      </w:r>
      <w:r w:rsidR="00B416C8">
        <w:rPr>
          <w:szCs w:val="28"/>
        </w:rPr>
        <w:t>й</w:t>
      </w:r>
      <w:r w:rsidRPr="0028020B">
        <w:rPr>
          <w:szCs w:val="28"/>
        </w:rPr>
        <w:t xml:space="preserve"> год возрос на 10,752 млн. рублей и составил 865,6 млн. рублей.</w:t>
      </w:r>
    </w:p>
    <w:p w:rsidR="00C938F9" w:rsidRPr="001D00C3" w:rsidRDefault="00C938F9" w:rsidP="00C938F9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  <w:r w:rsidRPr="001D00C3">
        <w:rPr>
          <w:sz w:val="28"/>
          <w:szCs w:val="28"/>
        </w:rPr>
        <w:t xml:space="preserve">Раздел </w:t>
      </w:r>
      <w:r w:rsidRPr="00E10768">
        <w:rPr>
          <w:b/>
          <w:sz w:val="28"/>
          <w:szCs w:val="28"/>
        </w:rPr>
        <w:t>«Культура, кинематография»</w:t>
      </w:r>
      <w:r w:rsidRPr="001D00C3">
        <w:rPr>
          <w:sz w:val="28"/>
          <w:szCs w:val="28"/>
        </w:rPr>
        <w:t xml:space="preserve"> включает расходы бюджета </w:t>
      </w:r>
      <w:r>
        <w:rPr>
          <w:sz w:val="28"/>
          <w:szCs w:val="28"/>
        </w:rPr>
        <w:t>городского округа</w:t>
      </w:r>
      <w:r w:rsidRPr="001D00C3">
        <w:rPr>
          <w:sz w:val="28"/>
          <w:szCs w:val="28"/>
        </w:rPr>
        <w:t xml:space="preserve"> </w:t>
      </w:r>
      <w:r w:rsidRPr="001D00C3">
        <w:rPr>
          <w:bCs/>
          <w:color w:val="000000"/>
          <w:sz w:val="28"/>
          <w:szCs w:val="28"/>
        </w:rPr>
        <w:t>на</w:t>
      </w:r>
      <w:r w:rsidRPr="001D00C3">
        <w:rPr>
          <w:color w:val="000000"/>
          <w:sz w:val="28"/>
          <w:szCs w:val="28"/>
        </w:rPr>
        <w:t xml:space="preserve"> сохранение историко-</w:t>
      </w:r>
      <w:r w:rsidRPr="001D00C3">
        <w:rPr>
          <w:bCs/>
          <w:color w:val="000000"/>
          <w:sz w:val="28"/>
          <w:szCs w:val="28"/>
        </w:rPr>
        <w:t>культурного</w:t>
      </w:r>
      <w:r w:rsidRPr="001D00C3">
        <w:rPr>
          <w:color w:val="000000"/>
          <w:sz w:val="28"/>
          <w:szCs w:val="28"/>
        </w:rPr>
        <w:t xml:space="preserve"> наследия</w:t>
      </w:r>
      <w:r>
        <w:rPr>
          <w:color w:val="000000"/>
          <w:sz w:val="28"/>
          <w:szCs w:val="28"/>
        </w:rPr>
        <w:t xml:space="preserve"> </w:t>
      </w:r>
      <w:r w:rsidRPr="001D00C3">
        <w:rPr>
          <w:color w:val="000000"/>
          <w:sz w:val="28"/>
          <w:szCs w:val="28"/>
        </w:rPr>
        <w:t xml:space="preserve">и дальнейшее развитие </w:t>
      </w:r>
      <w:r w:rsidRPr="001D00C3">
        <w:rPr>
          <w:bCs/>
          <w:color w:val="000000"/>
          <w:sz w:val="28"/>
          <w:szCs w:val="28"/>
        </w:rPr>
        <w:t>культуры</w:t>
      </w:r>
      <w:r w:rsidRPr="001D00C3">
        <w:rPr>
          <w:color w:val="000000"/>
          <w:sz w:val="28"/>
          <w:szCs w:val="28"/>
        </w:rPr>
        <w:t>, создание условий для всестороннего развития личности, роста ее творческой инициативы, духовных и эстетических потребностей.</w:t>
      </w:r>
    </w:p>
    <w:p w:rsidR="00C938F9" w:rsidRPr="0094266B" w:rsidRDefault="00C938F9" w:rsidP="00C938F9">
      <w:pPr>
        <w:pStyle w:val="aa"/>
        <w:ind w:firstLine="709"/>
        <w:rPr>
          <w:szCs w:val="28"/>
        </w:rPr>
      </w:pPr>
      <w:r w:rsidRPr="0094266B">
        <w:rPr>
          <w:szCs w:val="28"/>
        </w:rPr>
        <w:t>Прогнозируемый объем расходов бюджета городского округа город Нефтекамск Республики Башкортостан на 201</w:t>
      </w:r>
      <w:r>
        <w:rPr>
          <w:szCs w:val="28"/>
        </w:rPr>
        <w:t>7</w:t>
      </w:r>
      <w:r w:rsidRPr="0094266B">
        <w:rPr>
          <w:szCs w:val="28"/>
        </w:rPr>
        <w:t xml:space="preserve"> год определен в сумме </w:t>
      </w:r>
      <w:r>
        <w:rPr>
          <w:szCs w:val="28"/>
        </w:rPr>
        <w:t>58,1</w:t>
      </w:r>
      <w:r w:rsidRPr="0094266B">
        <w:rPr>
          <w:szCs w:val="28"/>
        </w:rPr>
        <w:t xml:space="preserve"> млн. рублей, на </w:t>
      </w:r>
      <w:r>
        <w:rPr>
          <w:szCs w:val="28"/>
        </w:rPr>
        <w:t>9,8</w:t>
      </w:r>
      <w:r w:rsidRPr="0094266B">
        <w:rPr>
          <w:szCs w:val="28"/>
        </w:rPr>
        <w:t xml:space="preserve"> </w:t>
      </w:r>
      <w:r w:rsidR="007731E0" w:rsidRPr="002E7A0C">
        <w:rPr>
          <w:bCs/>
          <w:szCs w:val="28"/>
        </w:rPr>
        <w:t>процента</w:t>
      </w:r>
      <w:r w:rsidRPr="0094266B">
        <w:rPr>
          <w:szCs w:val="28"/>
        </w:rPr>
        <w:t xml:space="preserve"> или </w:t>
      </w:r>
      <w:r>
        <w:rPr>
          <w:szCs w:val="28"/>
        </w:rPr>
        <w:t>на 5,2</w:t>
      </w:r>
      <w:r w:rsidRPr="0094266B">
        <w:rPr>
          <w:szCs w:val="28"/>
        </w:rPr>
        <w:t xml:space="preserve"> млн. рублей </w:t>
      </w:r>
      <w:r>
        <w:rPr>
          <w:szCs w:val="28"/>
        </w:rPr>
        <w:t>выш</w:t>
      </w:r>
      <w:r w:rsidRPr="0094266B">
        <w:rPr>
          <w:szCs w:val="28"/>
        </w:rPr>
        <w:t>е утвержденного плана текущего года</w:t>
      </w:r>
      <w:r w:rsidR="00B416C8" w:rsidRPr="00B416C8">
        <w:rPr>
          <w:szCs w:val="28"/>
        </w:rPr>
        <w:t xml:space="preserve"> </w:t>
      </w:r>
      <w:r w:rsidR="00B416C8">
        <w:rPr>
          <w:szCs w:val="28"/>
        </w:rPr>
        <w:t>и предусматривает финансирование</w:t>
      </w:r>
      <w:r w:rsidR="00B416C8" w:rsidRPr="0094266B">
        <w:rPr>
          <w:szCs w:val="28"/>
        </w:rPr>
        <w:t xml:space="preserve"> </w:t>
      </w:r>
      <w:r w:rsidR="00B416C8" w:rsidRPr="00B636C7">
        <w:rPr>
          <w:szCs w:val="28"/>
        </w:rPr>
        <w:t>7</w:t>
      </w:r>
      <w:r w:rsidR="00B416C8" w:rsidRPr="0094266B">
        <w:rPr>
          <w:szCs w:val="28"/>
        </w:rPr>
        <w:t xml:space="preserve"> учреждений в сфере </w:t>
      </w:r>
      <w:r w:rsidR="00B416C8" w:rsidRPr="00E10768">
        <w:rPr>
          <w:szCs w:val="28"/>
        </w:rPr>
        <w:t>культуры</w:t>
      </w:r>
      <w:r>
        <w:rPr>
          <w:szCs w:val="28"/>
        </w:rPr>
        <w:t>. По данному разделу предусмотрено финансирование</w:t>
      </w:r>
      <w:r w:rsidRPr="0094266B">
        <w:rPr>
          <w:szCs w:val="28"/>
        </w:rPr>
        <w:t xml:space="preserve">: </w:t>
      </w:r>
    </w:p>
    <w:p w:rsidR="00C938F9" w:rsidRPr="0094266B" w:rsidRDefault="00C938F9" w:rsidP="007158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66B">
        <w:rPr>
          <w:sz w:val="28"/>
          <w:szCs w:val="28"/>
        </w:rPr>
        <w:t>-</w:t>
      </w:r>
      <w:r w:rsidR="007158C7">
        <w:rPr>
          <w:sz w:val="28"/>
          <w:szCs w:val="28"/>
        </w:rPr>
        <w:tab/>
      </w:r>
      <w:r w:rsidRPr="0094266B">
        <w:rPr>
          <w:sz w:val="28"/>
          <w:szCs w:val="28"/>
        </w:rPr>
        <w:t xml:space="preserve">Муниципального казенного учреждения «Управление культуры городского округа город Нефтекамск Республики Башкортостан» – </w:t>
      </w:r>
      <w:r>
        <w:rPr>
          <w:sz w:val="28"/>
          <w:szCs w:val="28"/>
        </w:rPr>
        <w:t>17,7</w:t>
      </w:r>
      <w:r w:rsidRPr="0094266B">
        <w:rPr>
          <w:sz w:val="28"/>
          <w:szCs w:val="28"/>
        </w:rPr>
        <w:t xml:space="preserve"> млн. рублей;</w:t>
      </w:r>
    </w:p>
    <w:p w:rsidR="00C938F9" w:rsidRPr="0094266B" w:rsidRDefault="00C938F9" w:rsidP="007158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66B">
        <w:rPr>
          <w:sz w:val="28"/>
          <w:szCs w:val="28"/>
        </w:rPr>
        <w:t>-</w:t>
      </w:r>
      <w:r w:rsidR="007158C7">
        <w:rPr>
          <w:sz w:val="28"/>
          <w:szCs w:val="28"/>
        </w:rPr>
        <w:tab/>
      </w:r>
      <w:r w:rsidRPr="0094266B">
        <w:rPr>
          <w:sz w:val="28"/>
          <w:szCs w:val="28"/>
        </w:rPr>
        <w:t xml:space="preserve">Муниципального бюджетного учреждения культуры «Дом культуры» села Амзя – 2,2 млн. рублей; </w:t>
      </w:r>
    </w:p>
    <w:p w:rsidR="00C938F9" w:rsidRPr="0094266B" w:rsidRDefault="00C938F9" w:rsidP="007158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66B">
        <w:rPr>
          <w:sz w:val="28"/>
          <w:szCs w:val="28"/>
        </w:rPr>
        <w:t>-</w:t>
      </w:r>
      <w:r w:rsidR="007158C7">
        <w:rPr>
          <w:sz w:val="28"/>
          <w:szCs w:val="28"/>
        </w:rPr>
        <w:tab/>
      </w:r>
      <w:r w:rsidRPr="0094266B">
        <w:rPr>
          <w:sz w:val="28"/>
          <w:szCs w:val="28"/>
        </w:rPr>
        <w:t>Муниципального бюджетного учреждения «Централизованная библиотечная система» городского округа город Нефтекамск Республики Башкортостан – 13,</w:t>
      </w:r>
      <w:r>
        <w:rPr>
          <w:sz w:val="28"/>
          <w:szCs w:val="28"/>
        </w:rPr>
        <w:t>4</w:t>
      </w:r>
      <w:r w:rsidRPr="0094266B">
        <w:rPr>
          <w:sz w:val="28"/>
          <w:szCs w:val="28"/>
        </w:rPr>
        <w:t xml:space="preserve"> млн. рублей;</w:t>
      </w:r>
    </w:p>
    <w:p w:rsidR="00C938F9" w:rsidRPr="0094266B" w:rsidRDefault="00C938F9" w:rsidP="007158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66B">
        <w:rPr>
          <w:sz w:val="28"/>
          <w:szCs w:val="28"/>
        </w:rPr>
        <w:t>-</w:t>
      </w:r>
      <w:r w:rsidR="007158C7">
        <w:rPr>
          <w:sz w:val="28"/>
          <w:szCs w:val="28"/>
        </w:rPr>
        <w:tab/>
      </w:r>
      <w:r w:rsidRPr="0094266B">
        <w:rPr>
          <w:sz w:val="28"/>
          <w:szCs w:val="28"/>
        </w:rPr>
        <w:t>Муниципального бюджетного учреждения «Нефтекамский историко-краеведческий музей» городского округа город Нефтекамск Республики Башкортостан –</w:t>
      </w:r>
      <w:r>
        <w:rPr>
          <w:sz w:val="28"/>
          <w:szCs w:val="28"/>
        </w:rPr>
        <w:t xml:space="preserve"> 4,0</w:t>
      </w:r>
      <w:r w:rsidRPr="0094266B">
        <w:rPr>
          <w:sz w:val="28"/>
          <w:szCs w:val="28"/>
        </w:rPr>
        <w:t xml:space="preserve"> млн. рублей;</w:t>
      </w:r>
    </w:p>
    <w:p w:rsidR="007158C7" w:rsidRDefault="00C938F9" w:rsidP="007158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66B">
        <w:rPr>
          <w:sz w:val="28"/>
          <w:szCs w:val="28"/>
        </w:rPr>
        <w:t>-</w:t>
      </w:r>
      <w:r w:rsidR="007158C7">
        <w:rPr>
          <w:sz w:val="28"/>
          <w:szCs w:val="28"/>
        </w:rPr>
        <w:tab/>
      </w:r>
      <w:r w:rsidRPr="0094266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бюджетн</w:t>
      </w:r>
      <w:r w:rsidRPr="0094266B">
        <w:rPr>
          <w:sz w:val="28"/>
          <w:szCs w:val="28"/>
        </w:rPr>
        <w:t>ого учреждения</w:t>
      </w:r>
      <w:r w:rsidR="007158C7">
        <w:rPr>
          <w:sz w:val="28"/>
          <w:szCs w:val="28"/>
        </w:rPr>
        <w:t xml:space="preserve"> культуры</w:t>
      </w:r>
      <w:r w:rsidRPr="0094266B">
        <w:rPr>
          <w:sz w:val="28"/>
          <w:szCs w:val="28"/>
        </w:rPr>
        <w:t xml:space="preserve"> </w:t>
      </w:r>
      <w:r w:rsidR="007158C7">
        <w:rPr>
          <w:sz w:val="28"/>
          <w:szCs w:val="28"/>
        </w:rPr>
        <w:t>«</w:t>
      </w:r>
      <w:r w:rsidRPr="0094266B">
        <w:rPr>
          <w:sz w:val="28"/>
          <w:szCs w:val="28"/>
        </w:rPr>
        <w:t>Социокультурный центр села Ташкиново</w:t>
      </w:r>
      <w:r w:rsidR="007158C7">
        <w:rPr>
          <w:sz w:val="28"/>
          <w:szCs w:val="28"/>
        </w:rPr>
        <w:t>»</w:t>
      </w:r>
      <w:r w:rsidRPr="0094266B">
        <w:rPr>
          <w:sz w:val="28"/>
          <w:szCs w:val="28"/>
        </w:rPr>
        <w:t xml:space="preserve"> – 0,</w:t>
      </w:r>
      <w:r>
        <w:rPr>
          <w:sz w:val="28"/>
          <w:szCs w:val="28"/>
        </w:rPr>
        <w:t>8</w:t>
      </w:r>
      <w:r w:rsidRPr="0094266B">
        <w:rPr>
          <w:sz w:val="28"/>
          <w:szCs w:val="28"/>
        </w:rPr>
        <w:t xml:space="preserve"> млн. рублей;</w:t>
      </w:r>
      <w:r w:rsidR="007158C7" w:rsidRPr="007158C7">
        <w:rPr>
          <w:sz w:val="28"/>
          <w:szCs w:val="28"/>
        </w:rPr>
        <w:t xml:space="preserve"> </w:t>
      </w:r>
    </w:p>
    <w:p w:rsidR="007158C7" w:rsidRPr="0094266B" w:rsidRDefault="007158C7" w:rsidP="007158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66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94266B">
        <w:rPr>
          <w:sz w:val="28"/>
          <w:szCs w:val="28"/>
        </w:rPr>
        <w:t xml:space="preserve">Муниципального автономного учреждения культуры «Городской Центр Культуры» – </w:t>
      </w:r>
      <w:r>
        <w:rPr>
          <w:sz w:val="28"/>
          <w:szCs w:val="28"/>
        </w:rPr>
        <w:t>16,3</w:t>
      </w:r>
      <w:r w:rsidRPr="0094266B">
        <w:rPr>
          <w:sz w:val="28"/>
          <w:szCs w:val="28"/>
        </w:rPr>
        <w:t xml:space="preserve"> млн. рублей;</w:t>
      </w:r>
    </w:p>
    <w:p w:rsidR="00C938F9" w:rsidRPr="0094266B" w:rsidRDefault="00C938F9" w:rsidP="007158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66B">
        <w:rPr>
          <w:sz w:val="28"/>
          <w:szCs w:val="28"/>
        </w:rPr>
        <w:t>-</w:t>
      </w:r>
      <w:r w:rsidR="007158C7">
        <w:rPr>
          <w:sz w:val="28"/>
          <w:szCs w:val="28"/>
        </w:rPr>
        <w:tab/>
      </w:r>
      <w:r w:rsidR="007158C7" w:rsidRPr="007158C7">
        <w:rPr>
          <w:sz w:val="28"/>
          <w:szCs w:val="28"/>
        </w:rPr>
        <w:t>Муниципально</w:t>
      </w:r>
      <w:r w:rsidR="007158C7">
        <w:rPr>
          <w:sz w:val="28"/>
          <w:szCs w:val="28"/>
        </w:rPr>
        <w:t>го</w:t>
      </w:r>
      <w:r w:rsidR="007158C7" w:rsidRPr="007158C7">
        <w:rPr>
          <w:sz w:val="28"/>
          <w:szCs w:val="28"/>
        </w:rPr>
        <w:t xml:space="preserve"> автономно</w:t>
      </w:r>
      <w:r w:rsidR="007158C7">
        <w:rPr>
          <w:sz w:val="28"/>
          <w:szCs w:val="28"/>
        </w:rPr>
        <w:t>го</w:t>
      </w:r>
      <w:r w:rsidR="007158C7" w:rsidRPr="007158C7">
        <w:rPr>
          <w:sz w:val="28"/>
          <w:szCs w:val="28"/>
        </w:rPr>
        <w:t xml:space="preserve"> учреждени</w:t>
      </w:r>
      <w:r w:rsidR="007158C7">
        <w:rPr>
          <w:sz w:val="28"/>
          <w:szCs w:val="28"/>
        </w:rPr>
        <w:t>я</w:t>
      </w:r>
      <w:r w:rsidR="007158C7" w:rsidRPr="007158C7">
        <w:rPr>
          <w:sz w:val="28"/>
          <w:szCs w:val="28"/>
        </w:rPr>
        <w:t xml:space="preserve"> "Спортивно-культурный центр села Энергетик" городского округа город Нефтекамск Республики Башкортостан</w:t>
      </w:r>
      <w:r w:rsidR="007158C7">
        <w:rPr>
          <w:sz w:val="28"/>
          <w:szCs w:val="28"/>
        </w:rPr>
        <w:t xml:space="preserve"> </w:t>
      </w:r>
      <w:r w:rsidRPr="0094266B">
        <w:rPr>
          <w:sz w:val="28"/>
          <w:szCs w:val="28"/>
        </w:rPr>
        <w:t xml:space="preserve">– </w:t>
      </w:r>
      <w:r>
        <w:rPr>
          <w:sz w:val="28"/>
          <w:szCs w:val="28"/>
        </w:rPr>
        <w:t>3,7</w:t>
      </w:r>
      <w:r w:rsidRPr="0094266B">
        <w:rPr>
          <w:sz w:val="28"/>
          <w:szCs w:val="28"/>
        </w:rPr>
        <w:t xml:space="preserve"> млн. рублей. </w:t>
      </w:r>
    </w:p>
    <w:p w:rsidR="00C938F9" w:rsidRDefault="00C938F9" w:rsidP="00C938F9">
      <w:pPr>
        <w:ind w:firstLine="709"/>
        <w:jc w:val="both"/>
        <w:rPr>
          <w:sz w:val="28"/>
          <w:szCs w:val="28"/>
        </w:rPr>
      </w:pPr>
      <w:r w:rsidRPr="0094266B">
        <w:rPr>
          <w:sz w:val="28"/>
          <w:szCs w:val="28"/>
        </w:rPr>
        <w:t>Вышеуказанные расходы запланированы в рамках реализации Программы развития культуры и искусства городского округа город Нефтекамск Республики Башкортостан.</w:t>
      </w:r>
    </w:p>
    <w:p w:rsidR="00C938F9" w:rsidRPr="00C8012E" w:rsidRDefault="00C938F9" w:rsidP="00C938F9">
      <w:pPr>
        <w:ind w:firstLine="709"/>
        <w:jc w:val="both"/>
        <w:rPr>
          <w:sz w:val="28"/>
          <w:szCs w:val="28"/>
        </w:rPr>
      </w:pPr>
      <w:r w:rsidRPr="0015772E">
        <w:rPr>
          <w:sz w:val="28"/>
          <w:szCs w:val="28"/>
        </w:rPr>
        <w:t xml:space="preserve">Прогнозируемые расходы бюджета городского округа город Нефтекамск Республики Башкортостан в целом по разделу </w:t>
      </w:r>
      <w:r w:rsidRPr="0015772E">
        <w:rPr>
          <w:b/>
          <w:sz w:val="28"/>
          <w:szCs w:val="28"/>
        </w:rPr>
        <w:t>«Социальная политика»</w:t>
      </w:r>
      <w:r w:rsidRPr="0015772E">
        <w:rPr>
          <w:sz w:val="28"/>
          <w:szCs w:val="28"/>
        </w:rPr>
        <w:t xml:space="preserve"> составят в 2017 году</w:t>
      </w:r>
      <w:r w:rsidRPr="0094266B">
        <w:rPr>
          <w:color w:val="FF0000"/>
          <w:sz w:val="28"/>
          <w:szCs w:val="28"/>
        </w:rPr>
        <w:t xml:space="preserve"> </w:t>
      </w:r>
      <w:r w:rsidRPr="00C8012E">
        <w:rPr>
          <w:sz w:val="28"/>
          <w:szCs w:val="28"/>
        </w:rPr>
        <w:t xml:space="preserve">105,6 млн. рублей, что на 6,2 млн. рублей или 6,2 </w:t>
      </w:r>
      <w:r w:rsidR="007731E0" w:rsidRPr="002E7A0C">
        <w:rPr>
          <w:bCs/>
          <w:sz w:val="28"/>
          <w:szCs w:val="28"/>
        </w:rPr>
        <w:t>процента</w:t>
      </w:r>
      <w:r w:rsidRPr="00C8012E">
        <w:rPr>
          <w:sz w:val="28"/>
          <w:szCs w:val="28"/>
        </w:rPr>
        <w:t xml:space="preserve"> выше утвержденного уровня 2016 года. </w:t>
      </w:r>
    </w:p>
    <w:p w:rsidR="00C938F9" w:rsidRPr="0045485F" w:rsidRDefault="00C938F9" w:rsidP="00C938F9">
      <w:pPr>
        <w:ind w:firstLine="709"/>
        <w:jc w:val="both"/>
        <w:rPr>
          <w:sz w:val="28"/>
          <w:szCs w:val="28"/>
        </w:rPr>
      </w:pPr>
      <w:r w:rsidRPr="0045485F">
        <w:rPr>
          <w:sz w:val="28"/>
          <w:szCs w:val="28"/>
        </w:rPr>
        <w:t>В составе расходов по разделу прогнозируются бюджетные ассигнования:</w:t>
      </w:r>
    </w:p>
    <w:p w:rsidR="00C938F9" w:rsidRPr="0045485F" w:rsidRDefault="00C938F9" w:rsidP="00C938F9">
      <w:pPr>
        <w:pStyle w:val="aa"/>
        <w:ind w:firstLine="709"/>
        <w:rPr>
          <w:bCs/>
          <w:szCs w:val="28"/>
        </w:rPr>
      </w:pPr>
      <w:r w:rsidRPr="0045485F">
        <w:rPr>
          <w:bCs/>
          <w:szCs w:val="28"/>
        </w:rPr>
        <w:t xml:space="preserve">- на оказание поддержки Нефтекамскому городскому Совету ветеранов в сумме 1,2 млн. рублей, на ремонт жилья участников Великой </w:t>
      </w:r>
      <w:r w:rsidR="007158C7">
        <w:rPr>
          <w:bCs/>
          <w:szCs w:val="28"/>
        </w:rPr>
        <w:t>О</w:t>
      </w:r>
      <w:r w:rsidRPr="0045485F">
        <w:rPr>
          <w:bCs/>
          <w:szCs w:val="28"/>
        </w:rPr>
        <w:t>течественной войны в сумме 200,0 тыс. рублей;</w:t>
      </w:r>
    </w:p>
    <w:p w:rsidR="00C938F9" w:rsidRPr="0045485F" w:rsidRDefault="00C938F9" w:rsidP="00C938F9">
      <w:pPr>
        <w:pStyle w:val="aa"/>
        <w:ind w:firstLine="709"/>
        <w:rPr>
          <w:bCs/>
          <w:szCs w:val="28"/>
        </w:rPr>
      </w:pPr>
      <w:r w:rsidRPr="0045485F">
        <w:rPr>
          <w:bCs/>
          <w:szCs w:val="28"/>
        </w:rPr>
        <w:t>- на оказание поддержки деятельности Регионального отделения Общероссийской общественной организации инвалидов «Всероссийское общество глухих по Республике Башкортостан» в сумме 126,0 тыс. рублей;</w:t>
      </w:r>
    </w:p>
    <w:p w:rsidR="00C938F9" w:rsidRPr="0045485F" w:rsidRDefault="00C938F9" w:rsidP="00C938F9">
      <w:pPr>
        <w:pStyle w:val="aa"/>
        <w:ind w:firstLine="709"/>
        <w:rPr>
          <w:b/>
          <w:szCs w:val="28"/>
        </w:rPr>
      </w:pPr>
      <w:r w:rsidRPr="0045485F">
        <w:rPr>
          <w:bCs/>
          <w:szCs w:val="28"/>
        </w:rPr>
        <w:t>- на оказание социальной помощи города в сумме 500 тыс. рублей;</w:t>
      </w:r>
      <w:r w:rsidRPr="0045485F">
        <w:rPr>
          <w:b/>
          <w:szCs w:val="28"/>
        </w:rPr>
        <w:t xml:space="preserve"> </w:t>
      </w:r>
    </w:p>
    <w:p w:rsidR="00C938F9" w:rsidRPr="0045485F" w:rsidRDefault="00C938F9" w:rsidP="00C938F9">
      <w:pPr>
        <w:pStyle w:val="aa"/>
        <w:ind w:firstLine="709"/>
        <w:rPr>
          <w:szCs w:val="28"/>
        </w:rPr>
      </w:pPr>
      <w:r w:rsidRPr="0045485F">
        <w:rPr>
          <w:szCs w:val="28"/>
        </w:rPr>
        <w:t>- на доплату к пенсии муниципальных служащих в сумме 216,0 тыс. рублей;</w:t>
      </w:r>
    </w:p>
    <w:p w:rsidR="00C938F9" w:rsidRPr="0045485F" w:rsidRDefault="00C938F9" w:rsidP="00C938F9">
      <w:pPr>
        <w:pStyle w:val="aa"/>
        <w:ind w:firstLine="709"/>
        <w:rPr>
          <w:szCs w:val="28"/>
        </w:rPr>
      </w:pPr>
      <w:r w:rsidRPr="0045485F">
        <w:rPr>
          <w:szCs w:val="28"/>
        </w:rPr>
        <w:t xml:space="preserve">- на софинансирование государственной поддержки молодых семей, нуждающихся в улучшении жилищных условий из бюджета городского округа в сумме </w:t>
      </w:r>
      <w:r w:rsidRPr="00BA6E2C">
        <w:rPr>
          <w:szCs w:val="28"/>
        </w:rPr>
        <w:t>599,6</w:t>
      </w:r>
      <w:r w:rsidRPr="0045485F">
        <w:rPr>
          <w:szCs w:val="28"/>
        </w:rPr>
        <w:t xml:space="preserve"> тыс. рублей; </w:t>
      </w:r>
    </w:p>
    <w:p w:rsidR="00C938F9" w:rsidRPr="0094266B" w:rsidRDefault="00C938F9" w:rsidP="00C938F9">
      <w:pPr>
        <w:pStyle w:val="aa"/>
        <w:ind w:firstLine="709"/>
        <w:rPr>
          <w:color w:val="FF0000"/>
          <w:szCs w:val="28"/>
        </w:rPr>
      </w:pPr>
      <w:r w:rsidRPr="0045485F">
        <w:rPr>
          <w:szCs w:val="28"/>
        </w:rPr>
        <w:t xml:space="preserve">- на </w:t>
      </w:r>
      <w:r w:rsidR="007158C7">
        <w:rPr>
          <w:szCs w:val="28"/>
        </w:rPr>
        <w:t>финансирова</w:t>
      </w:r>
      <w:r w:rsidRPr="0045485F">
        <w:rPr>
          <w:szCs w:val="28"/>
        </w:rPr>
        <w:t xml:space="preserve">ние </w:t>
      </w:r>
      <w:r w:rsidR="007158C7">
        <w:rPr>
          <w:szCs w:val="28"/>
        </w:rPr>
        <w:t>М</w:t>
      </w:r>
      <w:r w:rsidRPr="0045485F">
        <w:rPr>
          <w:szCs w:val="28"/>
        </w:rPr>
        <w:t xml:space="preserve">униципального бюджетного учреждения «Социально-реабилитационный центр для лиц в состоянии алкогольного опьянения» в </w:t>
      </w:r>
      <w:r w:rsidRPr="00305124">
        <w:rPr>
          <w:szCs w:val="28"/>
        </w:rPr>
        <w:t>сумме 5,9</w:t>
      </w:r>
      <w:r>
        <w:rPr>
          <w:szCs w:val="28"/>
        </w:rPr>
        <w:t xml:space="preserve"> млн. рублей, на 0,5 млн. рублей больше, чем утверждено на текущий год.</w:t>
      </w:r>
    </w:p>
    <w:p w:rsidR="00C938F9" w:rsidRDefault="00C938F9" w:rsidP="00C938F9">
      <w:pPr>
        <w:pStyle w:val="aa"/>
        <w:ind w:firstLine="709"/>
        <w:rPr>
          <w:iCs/>
          <w:szCs w:val="28"/>
        </w:rPr>
      </w:pPr>
      <w:r w:rsidRPr="0015772E">
        <w:rPr>
          <w:szCs w:val="28"/>
        </w:rPr>
        <w:t xml:space="preserve">Так же </w:t>
      </w:r>
      <w:r>
        <w:rPr>
          <w:szCs w:val="28"/>
        </w:rPr>
        <w:t xml:space="preserve">по этому разделу </w:t>
      </w:r>
      <w:r w:rsidRPr="0015772E">
        <w:rPr>
          <w:szCs w:val="28"/>
        </w:rPr>
        <w:t>прогнозируются бюджетные ассигнования</w:t>
      </w:r>
      <w:r w:rsidRPr="0015772E">
        <w:rPr>
          <w:iCs/>
          <w:szCs w:val="28"/>
        </w:rPr>
        <w:t xml:space="preserve"> в виде </w:t>
      </w:r>
      <w:r w:rsidR="006D17A3">
        <w:rPr>
          <w:iCs/>
          <w:szCs w:val="28"/>
        </w:rPr>
        <w:t xml:space="preserve">субсидий и </w:t>
      </w:r>
      <w:r w:rsidRPr="0015772E">
        <w:rPr>
          <w:iCs/>
          <w:szCs w:val="28"/>
        </w:rPr>
        <w:t>субвенций из бюджета Республики Башкортостан:</w:t>
      </w:r>
    </w:p>
    <w:p w:rsidR="00C938F9" w:rsidRPr="0015772E" w:rsidRDefault="00C938F9" w:rsidP="00C938F9">
      <w:pPr>
        <w:pStyle w:val="aa"/>
        <w:ind w:firstLine="709"/>
        <w:rPr>
          <w:iCs/>
          <w:szCs w:val="28"/>
        </w:rPr>
      </w:pPr>
      <w:r>
        <w:rPr>
          <w:iCs/>
          <w:szCs w:val="28"/>
        </w:rPr>
        <w:t>- на предоставление социальных выплат молодым семьям на приобретение (строительство) жилья и при рождении (усыновлении) ребенка (детей) в сумме 10,290 млн.рублей;</w:t>
      </w:r>
    </w:p>
    <w:p w:rsidR="00C938F9" w:rsidRPr="0015772E" w:rsidRDefault="00C938F9" w:rsidP="00C938F9">
      <w:pPr>
        <w:pStyle w:val="aa"/>
        <w:ind w:firstLine="709"/>
        <w:rPr>
          <w:szCs w:val="28"/>
        </w:rPr>
      </w:pPr>
      <w:r w:rsidRPr="0015772E">
        <w:rPr>
          <w:szCs w:val="28"/>
        </w:rPr>
        <w:t>- на 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 в сумме 1,1 млн. рублей;</w:t>
      </w:r>
    </w:p>
    <w:p w:rsidR="00C938F9" w:rsidRPr="0015772E" w:rsidRDefault="00C938F9" w:rsidP="00C938F9">
      <w:pPr>
        <w:pStyle w:val="aa"/>
        <w:ind w:firstLine="709"/>
        <w:rPr>
          <w:szCs w:val="28"/>
        </w:rPr>
      </w:pPr>
      <w:r w:rsidRPr="0015772E">
        <w:rPr>
          <w:szCs w:val="28"/>
        </w:rPr>
        <w:t>- на предоставление мер государственной поддержки многодетным семьям по бесплатному питанию учащихся в сумме 6,0 млн. рублей;</w:t>
      </w:r>
    </w:p>
    <w:p w:rsidR="00C938F9" w:rsidRPr="0096157E" w:rsidRDefault="00C938F9" w:rsidP="00C938F9">
      <w:pPr>
        <w:pStyle w:val="aa"/>
        <w:ind w:firstLine="709"/>
        <w:rPr>
          <w:szCs w:val="28"/>
        </w:rPr>
      </w:pPr>
      <w:r w:rsidRPr="0096157E">
        <w:rPr>
          <w:szCs w:val="28"/>
        </w:rPr>
        <w:t xml:space="preserve">- </w:t>
      </w:r>
      <w:r>
        <w:rPr>
          <w:szCs w:val="28"/>
        </w:rPr>
        <w:t xml:space="preserve">на </w:t>
      </w:r>
      <w:r w:rsidRPr="0096157E">
        <w:rPr>
          <w:szCs w:val="28"/>
        </w:rPr>
        <w:t>социальн</w:t>
      </w:r>
      <w:r>
        <w:rPr>
          <w:szCs w:val="28"/>
        </w:rPr>
        <w:t>ую</w:t>
      </w:r>
      <w:r w:rsidRPr="0096157E">
        <w:rPr>
          <w:szCs w:val="28"/>
        </w:rPr>
        <w:t xml:space="preserve"> поддержк</w:t>
      </w:r>
      <w:r>
        <w:rPr>
          <w:szCs w:val="28"/>
        </w:rPr>
        <w:t>у</w:t>
      </w:r>
      <w:r w:rsidRPr="0096157E">
        <w:rPr>
          <w:szCs w:val="28"/>
        </w:rPr>
        <w:t xml:space="preserve"> детей-сирот и детей, оставшихся без попечения родителей в части ежемесячного пособия на содержание детей, переданных на воспитание в приемную и патронатную семью, </w:t>
      </w:r>
      <w:r w:rsidRPr="0096157E">
        <w:rPr>
          <w:szCs w:val="28"/>
        </w:rPr>
        <w:lastRenderedPageBreak/>
        <w:t>вознаграждения, причитающегося приемным и патронатным родителям, пособий на содержание детей, переданных под опеку и попечительство, в сумме 34,3 млн. рублей;</w:t>
      </w:r>
    </w:p>
    <w:p w:rsidR="00C938F9" w:rsidRPr="0096157E" w:rsidRDefault="00C938F9" w:rsidP="00C938F9">
      <w:pPr>
        <w:pStyle w:val="aa"/>
        <w:ind w:firstLine="709"/>
        <w:rPr>
          <w:szCs w:val="28"/>
        </w:rPr>
      </w:pPr>
      <w:r w:rsidRPr="0096157E">
        <w:rPr>
          <w:szCs w:val="28"/>
        </w:rPr>
        <w:t xml:space="preserve">- на </w:t>
      </w:r>
      <w:r w:rsidRPr="0096157E">
        <w:rPr>
          <w:bCs/>
          <w:szCs w:val="28"/>
        </w:rPr>
        <w:t>выплату компенсации части платы, взимаемой с родителей (законных представителей) за присмотр и уход за детьми,</w:t>
      </w:r>
      <w:r w:rsidRPr="0096157E">
        <w:rPr>
          <w:szCs w:val="28"/>
        </w:rPr>
        <w:t xml:space="preserve"> </w:t>
      </w:r>
      <w:r w:rsidRPr="0096157E">
        <w:rPr>
          <w:bCs/>
          <w:szCs w:val="28"/>
        </w:rPr>
        <w:t>осваивающими образовательные программы дошкольного образования в организациях, осуществляющих образовательную деятельность</w:t>
      </w:r>
      <w:r w:rsidRPr="0096157E">
        <w:rPr>
          <w:szCs w:val="28"/>
        </w:rPr>
        <w:t xml:space="preserve"> в сумме 27,4 млн. рублей;</w:t>
      </w:r>
    </w:p>
    <w:p w:rsidR="00C938F9" w:rsidRPr="0096157E" w:rsidRDefault="00C938F9" w:rsidP="00C938F9">
      <w:pPr>
        <w:pStyle w:val="aa"/>
        <w:ind w:firstLine="709"/>
        <w:rPr>
          <w:szCs w:val="28"/>
        </w:rPr>
      </w:pPr>
      <w:r w:rsidRPr="0096157E">
        <w:rPr>
          <w:szCs w:val="28"/>
        </w:rPr>
        <w:t>- на выплату единовременного пособия при всех формах устройства детей, лишенных родительского попечения, в семью в сумме 1,</w:t>
      </w:r>
      <w:r>
        <w:rPr>
          <w:szCs w:val="28"/>
        </w:rPr>
        <w:t xml:space="preserve">4 </w:t>
      </w:r>
      <w:r w:rsidRPr="0096157E">
        <w:rPr>
          <w:szCs w:val="28"/>
        </w:rPr>
        <w:t>млн. рублей.</w:t>
      </w:r>
    </w:p>
    <w:p w:rsidR="00C938F9" w:rsidRPr="0094266B" w:rsidRDefault="006D17A3" w:rsidP="00C938F9">
      <w:pPr>
        <w:pStyle w:val="aa"/>
        <w:ind w:firstLine="709"/>
        <w:rPr>
          <w:color w:val="FF0000"/>
          <w:szCs w:val="28"/>
        </w:rPr>
      </w:pPr>
      <w:r>
        <w:rPr>
          <w:szCs w:val="28"/>
        </w:rPr>
        <w:t>По разделу «Ф</w:t>
      </w:r>
      <w:r w:rsidR="00C938F9" w:rsidRPr="0045485F">
        <w:rPr>
          <w:b/>
          <w:szCs w:val="28"/>
        </w:rPr>
        <w:t>изическ</w:t>
      </w:r>
      <w:r>
        <w:rPr>
          <w:b/>
          <w:szCs w:val="28"/>
        </w:rPr>
        <w:t>ая</w:t>
      </w:r>
      <w:r w:rsidR="00C938F9" w:rsidRPr="0045485F">
        <w:rPr>
          <w:b/>
          <w:szCs w:val="28"/>
        </w:rPr>
        <w:t xml:space="preserve"> культур</w:t>
      </w:r>
      <w:r>
        <w:rPr>
          <w:b/>
          <w:szCs w:val="28"/>
        </w:rPr>
        <w:t>а</w:t>
      </w:r>
      <w:r w:rsidR="00C938F9" w:rsidRPr="0045485F">
        <w:rPr>
          <w:b/>
          <w:szCs w:val="28"/>
        </w:rPr>
        <w:t xml:space="preserve"> и спорт</w:t>
      </w:r>
      <w:r>
        <w:rPr>
          <w:b/>
          <w:szCs w:val="28"/>
        </w:rPr>
        <w:t>»</w:t>
      </w:r>
      <w:r w:rsidR="00C938F9" w:rsidRPr="0045485F">
        <w:rPr>
          <w:b/>
          <w:szCs w:val="28"/>
        </w:rPr>
        <w:t xml:space="preserve"> </w:t>
      </w:r>
      <w:r w:rsidR="00C938F9" w:rsidRPr="0045485F">
        <w:rPr>
          <w:szCs w:val="28"/>
        </w:rPr>
        <w:t>предусмотрены ассигнования в сумме 2,</w:t>
      </w:r>
      <w:r w:rsidR="00C938F9">
        <w:rPr>
          <w:szCs w:val="28"/>
        </w:rPr>
        <w:t>6</w:t>
      </w:r>
      <w:r w:rsidR="00C938F9" w:rsidRPr="0045485F">
        <w:rPr>
          <w:szCs w:val="28"/>
        </w:rPr>
        <w:t xml:space="preserve"> млн. рублей</w:t>
      </w:r>
      <w:r w:rsidR="00C938F9">
        <w:rPr>
          <w:szCs w:val="28"/>
        </w:rPr>
        <w:t>, на 0,5</w:t>
      </w:r>
      <w:r w:rsidR="00C938F9" w:rsidRPr="00BA6E2C">
        <w:rPr>
          <w:szCs w:val="28"/>
        </w:rPr>
        <w:t xml:space="preserve"> </w:t>
      </w:r>
      <w:r w:rsidR="000345F0">
        <w:rPr>
          <w:szCs w:val="28"/>
        </w:rPr>
        <w:t xml:space="preserve">млн. </w:t>
      </w:r>
      <w:r w:rsidR="00C938F9">
        <w:rPr>
          <w:szCs w:val="28"/>
        </w:rPr>
        <w:t>рублей больше, чем утверждено на текущий год.</w:t>
      </w:r>
    </w:p>
    <w:p w:rsidR="00C938F9" w:rsidRPr="0045485F" w:rsidRDefault="00C938F9" w:rsidP="00C938F9">
      <w:pPr>
        <w:pStyle w:val="aa"/>
        <w:ind w:firstLine="709"/>
        <w:rPr>
          <w:szCs w:val="28"/>
        </w:rPr>
      </w:pPr>
      <w:r w:rsidRPr="0045485F">
        <w:rPr>
          <w:szCs w:val="28"/>
        </w:rPr>
        <w:t>Указанные ассигнования будут направлены на реализацию муниципальной программы по развитию детско-юношеского спорта в городском округе город Нефтекамск Республики Башкортостан в части проведения спортивно-массовых, физкультурно-оздоровительных мероприятий среди различных слоев населения</w:t>
      </w:r>
      <w:r>
        <w:rPr>
          <w:szCs w:val="28"/>
        </w:rPr>
        <w:t xml:space="preserve"> и </w:t>
      </w:r>
      <w:r w:rsidRPr="0045485F">
        <w:rPr>
          <w:szCs w:val="28"/>
        </w:rPr>
        <w:t>на проведение районных и городских спортивных соревнований.</w:t>
      </w:r>
    </w:p>
    <w:p w:rsidR="00C938F9" w:rsidRPr="0045485F" w:rsidRDefault="00C938F9" w:rsidP="00C938F9">
      <w:pPr>
        <w:pStyle w:val="aa"/>
        <w:ind w:firstLine="709"/>
        <w:rPr>
          <w:szCs w:val="28"/>
        </w:rPr>
      </w:pPr>
      <w:r w:rsidRPr="0045485F">
        <w:rPr>
          <w:szCs w:val="28"/>
        </w:rPr>
        <w:t xml:space="preserve">В разделе </w:t>
      </w:r>
      <w:r w:rsidRPr="0045485F">
        <w:rPr>
          <w:b/>
          <w:szCs w:val="28"/>
        </w:rPr>
        <w:t>«Средства массовой информации»</w:t>
      </w:r>
      <w:r w:rsidRPr="0045485F">
        <w:rPr>
          <w:szCs w:val="28"/>
        </w:rPr>
        <w:t xml:space="preserve"> п</w:t>
      </w:r>
      <w:r w:rsidRPr="0045485F">
        <w:rPr>
          <w:bCs/>
          <w:szCs w:val="28"/>
        </w:rPr>
        <w:t xml:space="preserve">редусмотрены расходы на </w:t>
      </w:r>
      <w:r>
        <w:rPr>
          <w:bCs/>
          <w:szCs w:val="28"/>
        </w:rPr>
        <w:t xml:space="preserve">периодическую печать и </w:t>
      </w:r>
      <w:r w:rsidRPr="0045485F">
        <w:rPr>
          <w:bCs/>
          <w:szCs w:val="28"/>
        </w:rPr>
        <w:t xml:space="preserve">оплату услуг по предоставлению эфирного времени в сумме 1,6 млн. рублей на уровне </w:t>
      </w:r>
      <w:r>
        <w:rPr>
          <w:bCs/>
          <w:szCs w:val="28"/>
        </w:rPr>
        <w:t xml:space="preserve">утвержденного </w:t>
      </w:r>
      <w:r w:rsidRPr="0045485F">
        <w:rPr>
          <w:bCs/>
          <w:szCs w:val="28"/>
        </w:rPr>
        <w:t>плана на 201</w:t>
      </w:r>
      <w:r>
        <w:rPr>
          <w:bCs/>
          <w:szCs w:val="28"/>
        </w:rPr>
        <w:t>6</w:t>
      </w:r>
      <w:r w:rsidRPr="0045485F">
        <w:rPr>
          <w:bCs/>
          <w:szCs w:val="28"/>
        </w:rPr>
        <w:t xml:space="preserve"> год.</w:t>
      </w:r>
    </w:p>
    <w:p w:rsidR="00C938F9" w:rsidRDefault="00C938F9" w:rsidP="00C938F9">
      <w:pPr>
        <w:pStyle w:val="aa"/>
        <w:ind w:firstLine="709"/>
        <w:rPr>
          <w:szCs w:val="28"/>
        </w:rPr>
      </w:pPr>
      <w:r w:rsidRPr="0045485F">
        <w:rPr>
          <w:szCs w:val="28"/>
        </w:rPr>
        <w:t xml:space="preserve">В разделе </w:t>
      </w:r>
      <w:r w:rsidRPr="0045485F">
        <w:rPr>
          <w:b/>
          <w:bCs/>
          <w:szCs w:val="28"/>
        </w:rPr>
        <w:t xml:space="preserve">«Обслуживание государственного и муниципального долга» </w:t>
      </w:r>
      <w:r w:rsidRPr="0045485F">
        <w:rPr>
          <w:szCs w:val="28"/>
        </w:rPr>
        <w:t xml:space="preserve">запланированы расходы в сумме 2038,8 тыс. рублей на уплату процентов по бюджетному кредиту. </w:t>
      </w:r>
    </w:p>
    <w:p w:rsidR="006D17A3" w:rsidRDefault="006D17A3" w:rsidP="00C938F9">
      <w:pPr>
        <w:ind w:firstLine="709"/>
        <w:jc w:val="both"/>
        <w:rPr>
          <w:sz w:val="28"/>
          <w:szCs w:val="28"/>
        </w:rPr>
      </w:pPr>
    </w:p>
    <w:p w:rsidR="00C938F9" w:rsidRDefault="00C938F9" w:rsidP="00C938F9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204DFC" w:rsidRDefault="00204DFC" w:rsidP="00C938F9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C938F9" w:rsidRPr="0045485F" w:rsidRDefault="00C938F9" w:rsidP="00C938F9">
      <w:pPr>
        <w:jc w:val="both"/>
        <w:rPr>
          <w:sz w:val="28"/>
        </w:rPr>
      </w:pPr>
      <w:r w:rsidRPr="0045485F">
        <w:rPr>
          <w:sz w:val="28"/>
        </w:rPr>
        <w:t xml:space="preserve">Заместитель главы администрации </w:t>
      </w:r>
    </w:p>
    <w:p w:rsidR="00C938F9" w:rsidRPr="0045485F" w:rsidRDefault="00C938F9" w:rsidP="00C938F9">
      <w:pPr>
        <w:jc w:val="both"/>
        <w:rPr>
          <w:sz w:val="28"/>
        </w:rPr>
      </w:pPr>
      <w:r w:rsidRPr="0045485F">
        <w:rPr>
          <w:sz w:val="28"/>
        </w:rPr>
        <w:t xml:space="preserve">по финансовым вопросам – </w:t>
      </w:r>
    </w:p>
    <w:p w:rsidR="00C938F9" w:rsidRDefault="00C938F9" w:rsidP="00C938F9">
      <w:pPr>
        <w:jc w:val="both"/>
        <w:rPr>
          <w:sz w:val="28"/>
        </w:rPr>
      </w:pPr>
      <w:r w:rsidRPr="0045485F">
        <w:rPr>
          <w:sz w:val="28"/>
        </w:rPr>
        <w:t>начальник финансового управления</w:t>
      </w:r>
    </w:p>
    <w:p w:rsidR="00C938F9" w:rsidRDefault="00C938F9" w:rsidP="00C938F9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Pr="0045485F">
        <w:rPr>
          <w:sz w:val="28"/>
        </w:rPr>
        <w:t xml:space="preserve">городского округа </w:t>
      </w:r>
    </w:p>
    <w:p w:rsidR="00C938F9" w:rsidRPr="0045485F" w:rsidRDefault="00C938F9" w:rsidP="00C938F9">
      <w:pPr>
        <w:jc w:val="both"/>
        <w:rPr>
          <w:sz w:val="28"/>
        </w:rPr>
      </w:pPr>
      <w:r w:rsidRPr="0045485F">
        <w:rPr>
          <w:sz w:val="28"/>
        </w:rPr>
        <w:t xml:space="preserve">город Нефтекамск </w:t>
      </w:r>
    </w:p>
    <w:p w:rsidR="00C938F9" w:rsidRPr="0045485F" w:rsidRDefault="00C938F9" w:rsidP="00C938F9">
      <w:pPr>
        <w:jc w:val="both"/>
        <w:rPr>
          <w:sz w:val="28"/>
        </w:rPr>
      </w:pPr>
      <w:r w:rsidRPr="0045485F">
        <w:rPr>
          <w:sz w:val="28"/>
        </w:rPr>
        <w:t xml:space="preserve">Республики Башкортостан </w:t>
      </w:r>
      <w:r>
        <w:rPr>
          <w:sz w:val="28"/>
        </w:rPr>
        <w:t xml:space="preserve">                                                          </w:t>
      </w:r>
      <w:r w:rsidRPr="0045485F">
        <w:rPr>
          <w:sz w:val="28"/>
        </w:rPr>
        <w:t>Л.</w:t>
      </w:r>
      <w:r>
        <w:rPr>
          <w:sz w:val="28"/>
        </w:rPr>
        <w:t>М.</w:t>
      </w:r>
      <w:r w:rsidRPr="0045485F">
        <w:rPr>
          <w:sz w:val="28"/>
        </w:rPr>
        <w:t xml:space="preserve"> Латыпова</w:t>
      </w:r>
    </w:p>
    <w:p w:rsidR="00C938F9" w:rsidRPr="003B7592" w:rsidRDefault="00C938F9" w:rsidP="003B7592">
      <w:pPr>
        <w:ind w:firstLine="708"/>
        <w:jc w:val="both"/>
        <w:rPr>
          <w:rFonts w:eastAsia="Calibri"/>
          <w:sz w:val="28"/>
          <w:szCs w:val="28"/>
        </w:rPr>
      </w:pPr>
    </w:p>
    <w:sectPr w:rsidR="00C938F9" w:rsidRPr="003B7592" w:rsidSect="00B128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6A" w:rsidRDefault="00EF346A" w:rsidP="005E683D">
      <w:r>
        <w:separator/>
      </w:r>
    </w:p>
  </w:endnote>
  <w:endnote w:type="continuationSeparator" w:id="0">
    <w:p w:rsidR="00EF346A" w:rsidRDefault="00EF346A" w:rsidP="005E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5047"/>
    </w:sdtPr>
    <w:sdtContent>
      <w:p w:rsidR="00204DFC" w:rsidRDefault="00204DFC">
        <w:pPr>
          <w:pStyle w:val="a5"/>
          <w:jc w:val="center"/>
        </w:pPr>
        <w:fldSimple w:instr=" PAGE   \* MERGEFORMAT ">
          <w:r w:rsidR="009756A2">
            <w:rPr>
              <w:noProof/>
            </w:rPr>
            <w:t>21</w:t>
          </w:r>
        </w:fldSimple>
      </w:p>
    </w:sdtContent>
  </w:sdt>
  <w:p w:rsidR="00204DFC" w:rsidRDefault="00204D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6A" w:rsidRDefault="00EF346A" w:rsidP="005E683D">
      <w:r>
        <w:separator/>
      </w:r>
    </w:p>
  </w:footnote>
  <w:footnote w:type="continuationSeparator" w:id="0">
    <w:p w:rsidR="00EF346A" w:rsidRDefault="00EF346A" w:rsidP="005E6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37A"/>
    <w:multiLevelType w:val="multilevel"/>
    <w:tmpl w:val="AB6A8C58"/>
    <w:lvl w:ilvl="0">
      <w:start w:val="2015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C17"/>
    <w:rsid w:val="00007C6D"/>
    <w:rsid w:val="00015205"/>
    <w:rsid w:val="00016D29"/>
    <w:rsid w:val="00033C7A"/>
    <w:rsid w:val="000345F0"/>
    <w:rsid w:val="00034D9C"/>
    <w:rsid w:val="00037EDB"/>
    <w:rsid w:val="0004116F"/>
    <w:rsid w:val="0004372D"/>
    <w:rsid w:val="00045666"/>
    <w:rsid w:val="00046796"/>
    <w:rsid w:val="00051326"/>
    <w:rsid w:val="00052A6F"/>
    <w:rsid w:val="000566CA"/>
    <w:rsid w:val="000607D0"/>
    <w:rsid w:val="00062D4E"/>
    <w:rsid w:val="000664C7"/>
    <w:rsid w:val="000668A7"/>
    <w:rsid w:val="000672F1"/>
    <w:rsid w:val="000779A7"/>
    <w:rsid w:val="00080934"/>
    <w:rsid w:val="00081227"/>
    <w:rsid w:val="00081BC5"/>
    <w:rsid w:val="0008480F"/>
    <w:rsid w:val="00090660"/>
    <w:rsid w:val="00091B20"/>
    <w:rsid w:val="00093DC1"/>
    <w:rsid w:val="000A1E3F"/>
    <w:rsid w:val="000A3466"/>
    <w:rsid w:val="000B1F16"/>
    <w:rsid w:val="000B2EA6"/>
    <w:rsid w:val="000B32D2"/>
    <w:rsid w:val="000B5217"/>
    <w:rsid w:val="000B7820"/>
    <w:rsid w:val="000C0DB8"/>
    <w:rsid w:val="000C1774"/>
    <w:rsid w:val="000C6CAE"/>
    <w:rsid w:val="000D0206"/>
    <w:rsid w:val="000D677F"/>
    <w:rsid w:val="000E069A"/>
    <w:rsid w:val="000F2D2D"/>
    <w:rsid w:val="000F36E3"/>
    <w:rsid w:val="000F406F"/>
    <w:rsid w:val="000F4FF1"/>
    <w:rsid w:val="000F5FDB"/>
    <w:rsid w:val="000F6C43"/>
    <w:rsid w:val="001032AA"/>
    <w:rsid w:val="00103EFA"/>
    <w:rsid w:val="0011607E"/>
    <w:rsid w:val="00116BE7"/>
    <w:rsid w:val="00121BB6"/>
    <w:rsid w:val="001252C0"/>
    <w:rsid w:val="00125D5F"/>
    <w:rsid w:val="0012701E"/>
    <w:rsid w:val="00127C32"/>
    <w:rsid w:val="00127EE2"/>
    <w:rsid w:val="00130149"/>
    <w:rsid w:val="001327FE"/>
    <w:rsid w:val="00134900"/>
    <w:rsid w:val="00146DF5"/>
    <w:rsid w:val="00146F30"/>
    <w:rsid w:val="00154C20"/>
    <w:rsid w:val="001565B3"/>
    <w:rsid w:val="00156B31"/>
    <w:rsid w:val="0016092C"/>
    <w:rsid w:val="00160BA6"/>
    <w:rsid w:val="00162624"/>
    <w:rsid w:val="00172497"/>
    <w:rsid w:val="00172F58"/>
    <w:rsid w:val="001733AA"/>
    <w:rsid w:val="00173F24"/>
    <w:rsid w:val="00183EA7"/>
    <w:rsid w:val="00192333"/>
    <w:rsid w:val="00192887"/>
    <w:rsid w:val="001931DB"/>
    <w:rsid w:val="00193B26"/>
    <w:rsid w:val="00193C3D"/>
    <w:rsid w:val="00193FFA"/>
    <w:rsid w:val="001947A4"/>
    <w:rsid w:val="00196FD7"/>
    <w:rsid w:val="001A1696"/>
    <w:rsid w:val="001A54E2"/>
    <w:rsid w:val="001A55A0"/>
    <w:rsid w:val="001A63D7"/>
    <w:rsid w:val="001A720C"/>
    <w:rsid w:val="001A7B44"/>
    <w:rsid w:val="001B0498"/>
    <w:rsid w:val="001B2D89"/>
    <w:rsid w:val="001B3226"/>
    <w:rsid w:val="001B54D3"/>
    <w:rsid w:val="001B7C83"/>
    <w:rsid w:val="001C5457"/>
    <w:rsid w:val="001C552C"/>
    <w:rsid w:val="001D0544"/>
    <w:rsid w:val="001D2C96"/>
    <w:rsid w:val="001D626A"/>
    <w:rsid w:val="001D785A"/>
    <w:rsid w:val="001E6FDD"/>
    <w:rsid w:val="001F5AE4"/>
    <w:rsid w:val="001F77ED"/>
    <w:rsid w:val="0020147C"/>
    <w:rsid w:val="00201AF4"/>
    <w:rsid w:val="00204DFC"/>
    <w:rsid w:val="00205A4A"/>
    <w:rsid w:val="00205AE9"/>
    <w:rsid w:val="00212201"/>
    <w:rsid w:val="00212754"/>
    <w:rsid w:val="002134DF"/>
    <w:rsid w:val="00215447"/>
    <w:rsid w:val="00215FB2"/>
    <w:rsid w:val="002215FA"/>
    <w:rsid w:val="00222F3C"/>
    <w:rsid w:val="002238D2"/>
    <w:rsid w:val="00227759"/>
    <w:rsid w:val="00230E6F"/>
    <w:rsid w:val="00232A60"/>
    <w:rsid w:val="00233C50"/>
    <w:rsid w:val="0024465B"/>
    <w:rsid w:val="002448FC"/>
    <w:rsid w:val="00245A2D"/>
    <w:rsid w:val="002470F9"/>
    <w:rsid w:val="002501DB"/>
    <w:rsid w:val="00253B7F"/>
    <w:rsid w:val="00272186"/>
    <w:rsid w:val="0027329D"/>
    <w:rsid w:val="00274FFB"/>
    <w:rsid w:val="00280E88"/>
    <w:rsid w:val="00284396"/>
    <w:rsid w:val="002902B0"/>
    <w:rsid w:val="00292E60"/>
    <w:rsid w:val="0029658F"/>
    <w:rsid w:val="002A0CF9"/>
    <w:rsid w:val="002A50C4"/>
    <w:rsid w:val="002A5DA3"/>
    <w:rsid w:val="002A6A8D"/>
    <w:rsid w:val="002B5F02"/>
    <w:rsid w:val="002B729F"/>
    <w:rsid w:val="002C7E6F"/>
    <w:rsid w:val="002D1B38"/>
    <w:rsid w:val="002D208B"/>
    <w:rsid w:val="002D7847"/>
    <w:rsid w:val="002E0815"/>
    <w:rsid w:val="002E0CFA"/>
    <w:rsid w:val="002E2E44"/>
    <w:rsid w:val="002E6328"/>
    <w:rsid w:val="002E7790"/>
    <w:rsid w:val="002E7A0C"/>
    <w:rsid w:val="002F1135"/>
    <w:rsid w:val="002F19E0"/>
    <w:rsid w:val="002F4A9E"/>
    <w:rsid w:val="003053DC"/>
    <w:rsid w:val="00310C15"/>
    <w:rsid w:val="003120A1"/>
    <w:rsid w:val="003201DA"/>
    <w:rsid w:val="003213EC"/>
    <w:rsid w:val="00323809"/>
    <w:rsid w:val="00335C47"/>
    <w:rsid w:val="003366BE"/>
    <w:rsid w:val="00343561"/>
    <w:rsid w:val="00347ACE"/>
    <w:rsid w:val="00356E60"/>
    <w:rsid w:val="00363DD9"/>
    <w:rsid w:val="0036545F"/>
    <w:rsid w:val="003670F8"/>
    <w:rsid w:val="003676F7"/>
    <w:rsid w:val="003708F6"/>
    <w:rsid w:val="003714B4"/>
    <w:rsid w:val="0037247D"/>
    <w:rsid w:val="00377A87"/>
    <w:rsid w:val="00386860"/>
    <w:rsid w:val="003903FC"/>
    <w:rsid w:val="003925C1"/>
    <w:rsid w:val="003941B1"/>
    <w:rsid w:val="00395502"/>
    <w:rsid w:val="003968B8"/>
    <w:rsid w:val="003A319A"/>
    <w:rsid w:val="003A542C"/>
    <w:rsid w:val="003A581D"/>
    <w:rsid w:val="003B565B"/>
    <w:rsid w:val="003B580F"/>
    <w:rsid w:val="003B7592"/>
    <w:rsid w:val="003C3AC4"/>
    <w:rsid w:val="003C633F"/>
    <w:rsid w:val="003D2AC8"/>
    <w:rsid w:val="003E3A8B"/>
    <w:rsid w:val="003F0518"/>
    <w:rsid w:val="003F0BFC"/>
    <w:rsid w:val="003F7344"/>
    <w:rsid w:val="00414283"/>
    <w:rsid w:val="0041726F"/>
    <w:rsid w:val="00421FBD"/>
    <w:rsid w:val="00425851"/>
    <w:rsid w:val="00427D55"/>
    <w:rsid w:val="00432A3E"/>
    <w:rsid w:val="00434080"/>
    <w:rsid w:val="00442FDF"/>
    <w:rsid w:val="004446EB"/>
    <w:rsid w:val="00446C77"/>
    <w:rsid w:val="004478A4"/>
    <w:rsid w:val="004511DF"/>
    <w:rsid w:val="0045495F"/>
    <w:rsid w:val="00457EC2"/>
    <w:rsid w:val="00465D38"/>
    <w:rsid w:val="00466AEF"/>
    <w:rsid w:val="00471A51"/>
    <w:rsid w:val="00473FD9"/>
    <w:rsid w:val="00480957"/>
    <w:rsid w:val="0048456E"/>
    <w:rsid w:val="004A47F8"/>
    <w:rsid w:val="004A5293"/>
    <w:rsid w:val="004B252F"/>
    <w:rsid w:val="004B35AF"/>
    <w:rsid w:val="004B6697"/>
    <w:rsid w:val="004D0790"/>
    <w:rsid w:val="004D161E"/>
    <w:rsid w:val="004D35FD"/>
    <w:rsid w:val="004D3CB6"/>
    <w:rsid w:val="004D4438"/>
    <w:rsid w:val="004E021D"/>
    <w:rsid w:val="004E0DBB"/>
    <w:rsid w:val="004E21BE"/>
    <w:rsid w:val="004E3775"/>
    <w:rsid w:val="004E72CA"/>
    <w:rsid w:val="004F6BB2"/>
    <w:rsid w:val="005006FB"/>
    <w:rsid w:val="005010B8"/>
    <w:rsid w:val="00501C99"/>
    <w:rsid w:val="0050253B"/>
    <w:rsid w:val="005049C5"/>
    <w:rsid w:val="00505476"/>
    <w:rsid w:val="005144AE"/>
    <w:rsid w:val="00515EFE"/>
    <w:rsid w:val="00522308"/>
    <w:rsid w:val="00523F5C"/>
    <w:rsid w:val="005242FF"/>
    <w:rsid w:val="00524CE7"/>
    <w:rsid w:val="005258A7"/>
    <w:rsid w:val="00527945"/>
    <w:rsid w:val="005312AC"/>
    <w:rsid w:val="005340C6"/>
    <w:rsid w:val="00534F81"/>
    <w:rsid w:val="00537F9C"/>
    <w:rsid w:val="00545717"/>
    <w:rsid w:val="005540B6"/>
    <w:rsid w:val="00561E22"/>
    <w:rsid w:val="0056219E"/>
    <w:rsid w:val="0056279E"/>
    <w:rsid w:val="005666B5"/>
    <w:rsid w:val="00566C5E"/>
    <w:rsid w:val="005676F1"/>
    <w:rsid w:val="0057349B"/>
    <w:rsid w:val="00576986"/>
    <w:rsid w:val="005837F9"/>
    <w:rsid w:val="0058382A"/>
    <w:rsid w:val="005847EC"/>
    <w:rsid w:val="0058799A"/>
    <w:rsid w:val="00596D4F"/>
    <w:rsid w:val="00596D83"/>
    <w:rsid w:val="005A0BA8"/>
    <w:rsid w:val="005A0BC0"/>
    <w:rsid w:val="005A1668"/>
    <w:rsid w:val="005A4183"/>
    <w:rsid w:val="005B4B79"/>
    <w:rsid w:val="005B7614"/>
    <w:rsid w:val="005C754C"/>
    <w:rsid w:val="005C79FD"/>
    <w:rsid w:val="005D4C3C"/>
    <w:rsid w:val="005E0135"/>
    <w:rsid w:val="005E3AC3"/>
    <w:rsid w:val="005E3CD9"/>
    <w:rsid w:val="005E5A34"/>
    <w:rsid w:val="005E683D"/>
    <w:rsid w:val="006000C1"/>
    <w:rsid w:val="00605379"/>
    <w:rsid w:val="00611C9B"/>
    <w:rsid w:val="006128D5"/>
    <w:rsid w:val="00615EAD"/>
    <w:rsid w:val="00624D5A"/>
    <w:rsid w:val="00627468"/>
    <w:rsid w:val="006320E2"/>
    <w:rsid w:val="00633E2F"/>
    <w:rsid w:val="00633EA0"/>
    <w:rsid w:val="00636A90"/>
    <w:rsid w:val="00643E89"/>
    <w:rsid w:val="00644471"/>
    <w:rsid w:val="00646991"/>
    <w:rsid w:val="00650873"/>
    <w:rsid w:val="006559C0"/>
    <w:rsid w:val="00660122"/>
    <w:rsid w:val="006647BE"/>
    <w:rsid w:val="00664C60"/>
    <w:rsid w:val="006669F0"/>
    <w:rsid w:val="00671DF0"/>
    <w:rsid w:val="00681094"/>
    <w:rsid w:val="00684A3F"/>
    <w:rsid w:val="006862CB"/>
    <w:rsid w:val="00691AD1"/>
    <w:rsid w:val="00695254"/>
    <w:rsid w:val="006952FD"/>
    <w:rsid w:val="006A35EB"/>
    <w:rsid w:val="006A45BB"/>
    <w:rsid w:val="006B5639"/>
    <w:rsid w:val="006B65F4"/>
    <w:rsid w:val="006C221C"/>
    <w:rsid w:val="006C5AAD"/>
    <w:rsid w:val="006C6588"/>
    <w:rsid w:val="006C7C01"/>
    <w:rsid w:val="006D12F1"/>
    <w:rsid w:val="006D147C"/>
    <w:rsid w:val="006D17A3"/>
    <w:rsid w:val="006D58A0"/>
    <w:rsid w:val="006D683A"/>
    <w:rsid w:val="006D691E"/>
    <w:rsid w:val="006E4C2C"/>
    <w:rsid w:val="006E70DA"/>
    <w:rsid w:val="006F0E32"/>
    <w:rsid w:val="006F1C28"/>
    <w:rsid w:val="006F2721"/>
    <w:rsid w:val="00700CA8"/>
    <w:rsid w:val="00701090"/>
    <w:rsid w:val="00706461"/>
    <w:rsid w:val="00706634"/>
    <w:rsid w:val="007158C7"/>
    <w:rsid w:val="0072226A"/>
    <w:rsid w:val="00736FFB"/>
    <w:rsid w:val="00737AA9"/>
    <w:rsid w:val="00745747"/>
    <w:rsid w:val="00747700"/>
    <w:rsid w:val="0074784B"/>
    <w:rsid w:val="0075192D"/>
    <w:rsid w:val="00765750"/>
    <w:rsid w:val="00770E8D"/>
    <w:rsid w:val="00771F79"/>
    <w:rsid w:val="007731E0"/>
    <w:rsid w:val="00775DEB"/>
    <w:rsid w:val="00781C95"/>
    <w:rsid w:val="00782B41"/>
    <w:rsid w:val="007840AA"/>
    <w:rsid w:val="00787E4C"/>
    <w:rsid w:val="00790D49"/>
    <w:rsid w:val="00793800"/>
    <w:rsid w:val="00797CF0"/>
    <w:rsid w:val="007A0921"/>
    <w:rsid w:val="007A0A3A"/>
    <w:rsid w:val="007A6841"/>
    <w:rsid w:val="007A6AAC"/>
    <w:rsid w:val="007A7A6A"/>
    <w:rsid w:val="007C3881"/>
    <w:rsid w:val="007C4809"/>
    <w:rsid w:val="007D0E0D"/>
    <w:rsid w:val="007D217D"/>
    <w:rsid w:val="007D31A3"/>
    <w:rsid w:val="007D586F"/>
    <w:rsid w:val="007E6D28"/>
    <w:rsid w:val="007F0C90"/>
    <w:rsid w:val="007F296A"/>
    <w:rsid w:val="007F7AB5"/>
    <w:rsid w:val="00816CEC"/>
    <w:rsid w:val="00832442"/>
    <w:rsid w:val="00840828"/>
    <w:rsid w:val="00840CAC"/>
    <w:rsid w:val="0084102C"/>
    <w:rsid w:val="008417D3"/>
    <w:rsid w:val="008453B7"/>
    <w:rsid w:val="008453DE"/>
    <w:rsid w:val="00845565"/>
    <w:rsid w:val="00850403"/>
    <w:rsid w:val="0086792D"/>
    <w:rsid w:val="00870AB8"/>
    <w:rsid w:val="00870C5F"/>
    <w:rsid w:val="00874FDA"/>
    <w:rsid w:val="00876E55"/>
    <w:rsid w:val="00880131"/>
    <w:rsid w:val="0088031E"/>
    <w:rsid w:val="008806D0"/>
    <w:rsid w:val="0088576C"/>
    <w:rsid w:val="00885B96"/>
    <w:rsid w:val="0088650D"/>
    <w:rsid w:val="00890F90"/>
    <w:rsid w:val="00897F36"/>
    <w:rsid w:val="008A0BB7"/>
    <w:rsid w:val="008A0EFB"/>
    <w:rsid w:val="008B25DE"/>
    <w:rsid w:val="008B32A6"/>
    <w:rsid w:val="008B469E"/>
    <w:rsid w:val="008B749E"/>
    <w:rsid w:val="008B7546"/>
    <w:rsid w:val="008C0B85"/>
    <w:rsid w:val="008C14BD"/>
    <w:rsid w:val="008C1ABC"/>
    <w:rsid w:val="008C530B"/>
    <w:rsid w:val="008D1572"/>
    <w:rsid w:val="008D605D"/>
    <w:rsid w:val="008D63C0"/>
    <w:rsid w:val="008D6E40"/>
    <w:rsid w:val="008E4093"/>
    <w:rsid w:val="008E7B68"/>
    <w:rsid w:val="008F09D9"/>
    <w:rsid w:val="008F348D"/>
    <w:rsid w:val="008F5135"/>
    <w:rsid w:val="00904C1A"/>
    <w:rsid w:val="009100B8"/>
    <w:rsid w:val="00914EE3"/>
    <w:rsid w:val="009156AF"/>
    <w:rsid w:val="00915B78"/>
    <w:rsid w:val="009172EA"/>
    <w:rsid w:val="00917B0A"/>
    <w:rsid w:val="00926A97"/>
    <w:rsid w:val="0093162A"/>
    <w:rsid w:val="00932F0E"/>
    <w:rsid w:val="00936B4C"/>
    <w:rsid w:val="009412A9"/>
    <w:rsid w:val="00942ED1"/>
    <w:rsid w:val="00943324"/>
    <w:rsid w:val="009532F3"/>
    <w:rsid w:val="009544D6"/>
    <w:rsid w:val="00962674"/>
    <w:rsid w:val="00973FCC"/>
    <w:rsid w:val="009756A2"/>
    <w:rsid w:val="009771EF"/>
    <w:rsid w:val="00980540"/>
    <w:rsid w:val="00980B41"/>
    <w:rsid w:val="0098391A"/>
    <w:rsid w:val="00983F42"/>
    <w:rsid w:val="00986CD1"/>
    <w:rsid w:val="009919CD"/>
    <w:rsid w:val="00992891"/>
    <w:rsid w:val="00992C88"/>
    <w:rsid w:val="00993222"/>
    <w:rsid w:val="00997ABE"/>
    <w:rsid w:val="009A1FA6"/>
    <w:rsid w:val="009A2443"/>
    <w:rsid w:val="009A2576"/>
    <w:rsid w:val="009A4513"/>
    <w:rsid w:val="009B75CA"/>
    <w:rsid w:val="009C0807"/>
    <w:rsid w:val="009C605D"/>
    <w:rsid w:val="009D52F7"/>
    <w:rsid w:val="009E3326"/>
    <w:rsid w:val="009E3D31"/>
    <w:rsid w:val="009E4780"/>
    <w:rsid w:val="009E5112"/>
    <w:rsid w:val="009E6668"/>
    <w:rsid w:val="009E75DC"/>
    <w:rsid w:val="009E7FC6"/>
    <w:rsid w:val="009F540A"/>
    <w:rsid w:val="009F5B5C"/>
    <w:rsid w:val="00A037D6"/>
    <w:rsid w:val="00A04531"/>
    <w:rsid w:val="00A10F98"/>
    <w:rsid w:val="00A11BA6"/>
    <w:rsid w:val="00A155C7"/>
    <w:rsid w:val="00A21ECD"/>
    <w:rsid w:val="00A22DBE"/>
    <w:rsid w:val="00A25B15"/>
    <w:rsid w:val="00A33754"/>
    <w:rsid w:val="00A33C47"/>
    <w:rsid w:val="00A34982"/>
    <w:rsid w:val="00A3745D"/>
    <w:rsid w:val="00A47045"/>
    <w:rsid w:val="00A545FD"/>
    <w:rsid w:val="00A651CE"/>
    <w:rsid w:val="00A712F6"/>
    <w:rsid w:val="00A7165A"/>
    <w:rsid w:val="00A7225A"/>
    <w:rsid w:val="00A73BA0"/>
    <w:rsid w:val="00A7493C"/>
    <w:rsid w:val="00A76FD6"/>
    <w:rsid w:val="00A77863"/>
    <w:rsid w:val="00A77F8D"/>
    <w:rsid w:val="00A829A3"/>
    <w:rsid w:val="00A83C43"/>
    <w:rsid w:val="00A904AC"/>
    <w:rsid w:val="00A92596"/>
    <w:rsid w:val="00A9384C"/>
    <w:rsid w:val="00AA2183"/>
    <w:rsid w:val="00AA4980"/>
    <w:rsid w:val="00AA4F21"/>
    <w:rsid w:val="00AB11AA"/>
    <w:rsid w:val="00AD0090"/>
    <w:rsid w:val="00AD6674"/>
    <w:rsid w:val="00AD7CCD"/>
    <w:rsid w:val="00AE48C6"/>
    <w:rsid w:val="00AE6E9A"/>
    <w:rsid w:val="00AF0C0C"/>
    <w:rsid w:val="00AF1989"/>
    <w:rsid w:val="00AF4A6C"/>
    <w:rsid w:val="00AF5A37"/>
    <w:rsid w:val="00AF680E"/>
    <w:rsid w:val="00AF6F9B"/>
    <w:rsid w:val="00B03355"/>
    <w:rsid w:val="00B05FA5"/>
    <w:rsid w:val="00B06BF5"/>
    <w:rsid w:val="00B128C5"/>
    <w:rsid w:val="00B26026"/>
    <w:rsid w:val="00B27638"/>
    <w:rsid w:val="00B30EC7"/>
    <w:rsid w:val="00B3652A"/>
    <w:rsid w:val="00B4150C"/>
    <w:rsid w:val="00B416C8"/>
    <w:rsid w:val="00B43DDB"/>
    <w:rsid w:val="00B5090E"/>
    <w:rsid w:val="00B51DAB"/>
    <w:rsid w:val="00B57030"/>
    <w:rsid w:val="00B60465"/>
    <w:rsid w:val="00B60D1E"/>
    <w:rsid w:val="00B623A6"/>
    <w:rsid w:val="00B65EA1"/>
    <w:rsid w:val="00B66764"/>
    <w:rsid w:val="00B70395"/>
    <w:rsid w:val="00B76507"/>
    <w:rsid w:val="00B80E92"/>
    <w:rsid w:val="00B8297F"/>
    <w:rsid w:val="00B931E5"/>
    <w:rsid w:val="00B93375"/>
    <w:rsid w:val="00B954CB"/>
    <w:rsid w:val="00BA0A28"/>
    <w:rsid w:val="00BA25BB"/>
    <w:rsid w:val="00BA6207"/>
    <w:rsid w:val="00BB1F86"/>
    <w:rsid w:val="00BC1467"/>
    <w:rsid w:val="00BC575C"/>
    <w:rsid w:val="00BC5BD5"/>
    <w:rsid w:val="00BC69F2"/>
    <w:rsid w:val="00BD12B4"/>
    <w:rsid w:val="00BD37DC"/>
    <w:rsid w:val="00BE15D6"/>
    <w:rsid w:val="00BE3AAE"/>
    <w:rsid w:val="00BF6AF2"/>
    <w:rsid w:val="00BF6EDF"/>
    <w:rsid w:val="00C00011"/>
    <w:rsid w:val="00C013C8"/>
    <w:rsid w:val="00C208EF"/>
    <w:rsid w:val="00C27D4D"/>
    <w:rsid w:val="00C312BD"/>
    <w:rsid w:val="00C32704"/>
    <w:rsid w:val="00C33EEF"/>
    <w:rsid w:val="00C34BD4"/>
    <w:rsid w:val="00C34FB7"/>
    <w:rsid w:val="00C3680B"/>
    <w:rsid w:val="00C404B1"/>
    <w:rsid w:val="00C41942"/>
    <w:rsid w:val="00C41AB4"/>
    <w:rsid w:val="00C42D61"/>
    <w:rsid w:val="00C54E4C"/>
    <w:rsid w:val="00C55E29"/>
    <w:rsid w:val="00C604AB"/>
    <w:rsid w:val="00C6392E"/>
    <w:rsid w:val="00C707AE"/>
    <w:rsid w:val="00C70969"/>
    <w:rsid w:val="00C72B6D"/>
    <w:rsid w:val="00C75308"/>
    <w:rsid w:val="00C80F1F"/>
    <w:rsid w:val="00C938F9"/>
    <w:rsid w:val="00C93C17"/>
    <w:rsid w:val="00C95ED2"/>
    <w:rsid w:val="00CB64BA"/>
    <w:rsid w:val="00CB769E"/>
    <w:rsid w:val="00CC4E35"/>
    <w:rsid w:val="00CC7FA8"/>
    <w:rsid w:val="00CD49A8"/>
    <w:rsid w:val="00CE0F2A"/>
    <w:rsid w:val="00CE5A04"/>
    <w:rsid w:val="00CE7D63"/>
    <w:rsid w:val="00CF20BD"/>
    <w:rsid w:val="00D00FF0"/>
    <w:rsid w:val="00D022DF"/>
    <w:rsid w:val="00D030E3"/>
    <w:rsid w:val="00D0311E"/>
    <w:rsid w:val="00D03320"/>
    <w:rsid w:val="00D062EE"/>
    <w:rsid w:val="00D06B19"/>
    <w:rsid w:val="00D07518"/>
    <w:rsid w:val="00D078EB"/>
    <w:rsid w:val="00D164C2"/>
    <w:rsid w:val="00D34DBC"/>
    <w:rsid w:val="00D36CC9"/>
    <w:rsid w:val="00D36D82"/>
    <w:rsid w:val="00D376F8"/>
    <w:rsid w:val="00D43937"/>
    <w:rsid w:val="00D4506F"/>
    <w:rsid w:val="00D61507"/>
    <w:rsid w:val="00D64530"/>
    <w:rsid w:val="00D65C5B"/>
    <w:rsid w:val="00D662AB"/>
    <w:rsid w:val="00D662CB"/>
    <w:rsid w:val="00D667A6"/>
    <w:rsid w:val="00D67646"/>
    <w:rsid w:val="00D7329A"/>
    <w:rsid w:val="00D74989"/>
    <w:rsid w:val="00D74A4C"/>
    <w:rsid w:val="00D7594D"/>
    <w:rsid w:val="00D771C0"/>
    <w:rsid w:val="00D81459"/>
    <w:rsid w:val="00D829A3"/>
    <w:rsid w:val="00D8752B"/>
    <w:rsid w:val="00D92033"/>
    <w:rsid w:val="00D93BA4"/>
    <w:rsid w:val="00D949CF"/>
    <w:rsid w:val="00D96D63"/>
    <w:rsid w:val="00DA3262"/>
    <w:rsid w:val="00DA65E5"/>
    <w:rsid w:val="00DA6B29"/>
    <w:rsid w:val="00DA7523"/>
    <w:rsid w:val="00DB59E8"/>
    <w:rsid w:val="00DB7261"/>
    <w:rsid w:val="00DB7B0B"/>
    <w:rsid w:val="00DB7EEA"/>
    <w:rsid w:val="00DC074D"/>
    <w:rsid w:val="00DC1308"/>
    <w:rsid w:val="00DD1D36"/>
    <w:rsid w:val="00DD3186"/>
    <w:rsid w:val="00DE022D"/>
    <w:rsid w:val="00DE78BE"/>
    <w:rsid w:val="00DE7BCE"/>
    <w:rsid w:val="00DF25FA"/>
    <w:rsid w:val="00DF436C"/>
    <w:rsid w:val="00DF4A2F"/>
    <w:rsid w:val="00DF4D6D"/>
    <w:rsid w:val="00E037AD"/>
    <w:rsid w:val="00E06FAA"/>
    <w:rsid w:val="00E0715B"/>
    <w:rsid w:val="00E073FF"/>
    <w:rsid w:val="00E121C9"/>
    <w:rsid w:val="00E17DE7"/>
    <w:rsid w:val="00E26A32"/>
    <w:rsid w:val="00E34970"/>
    <w:rsid w:val="00E358A3"/>
    <w:rsid w:val="00E37CC9"/>
    <w:rsid w:val="00E405B5"/>
    <w:rsid w:val="00E43934"/>
    <w:rsid w:val="00E461DB"/>
    <w:rsid w:val="00E5267F"/>
    <w:rsid w:val="00E669DE"/>
    <w:rsid w:val="00E74E15"/>
    <w:rsid w:val="00E769EF"/>
    <w:rsid w:val="00E81D55"/>
    <w:rsid w:val="00E83763"/>
    <w:rsid w:val="00E83952"/>
    <w:rsid w:val="00E84C91"/>
    <w:rsid w:val="00E8521A"/>
    <w:rsid w:val="00E95B3B"/>
    <w:rsid w:val="00E96D71"/>
    <w:rsid w:val="00EA62AC"/>
    <w:rsid w:val="00EA62BD"/>
    <w:rsid w:val="00EB03AC"/>
    <w:rsid w:val="00EB545F"/>
    <w:rsid w:val="00EC7CB7"/>
    <w:rsid w:val="00ED07EB"/>
    <w:rsid w:val="00ED14EE"/>
    <w:rsid w:val="00ED4205"/>
    <w:rsid w:val="00EE3BA7"/>
    <w:rsid w:val="00EE3DBF"/>
    <w:rsid w:val="00EE46A3"/>
    <w:rsid w:val="00EE75D4"/>
    <w:rsid w:val="00EF0AFD"/>
    <w:rsid w:val="00EF346A"/>
    <w:rsid w:val="00EF5159"/>
    <w:rsid w:val="00F12F04"/>
    <w:rsid w:val="00F1662D"/>
    <w:rsid w:val="00F22974"/>
    <w:rsid w:val="00F254BA"/>
    <w:rsid w:val="00F32E4F"/>
    <w:rsid w:val="00F35C4B"/>
    <w:rsid w:val="00F43E4F"/>
    <w:rsid w:val="00F46B99"/>
    <w:rsid w:val="00F46E9F"/>
    <w:rsid w:val="00F50097"/>
    <w:rsid w:val="00F516B5"/>
    <w:rsid w:val="00F55839"/>
    <w:rsid w:val="00F60932"/>
    <w:rsid w:val="00F63E13"/>
    <w:rsid w:val="00F646D4"/>
    <w:rsid w:val="00F709CB"/>
    <w:rsid w:val="00F76122"/>
    <w:rsid w:val="00F80226"/>
    <w:rsid w:val="00F86EB2"/>
    <w:rsid w:val="00F87327"/>
    <w:rsid w:val="00F91B05"/>
    <w:rsid w:val="00F920E1"/>
    <w:rsid w:val="00F93B43"/>
    <w:rsid w:val="00F96394"/>
    <w:rsid w:val="00FA2EA9"/>
    <w:rsid w:val="00FA5B78"/>
    <w:rsid w:val="00FA7D38"/>
    <w:rsid w:val="00FB0260"/>
    <w:rsid w:val="00FB1F04"/>
    <w:rsid w:val="00FC48E5"/>
    <w:rsid w:val="00FD2456"/>
    <w:rsid w:val="00FD3AF0"/>
    <w:rsid w:val="00FE2D5D"/>
    <w:rsid w:val="00FE3119"/>
    <w:rsid w:val="00FE4B52"/>
    <w:rsid w:val="00FF0591"/>
    <w:rsid w:val="00FF289E"/>
    <w:rsid w:val="00FF41DE"/>
    <w:rsid w:val="00FF6308"/>
    <w:rsid w:val="00FF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3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3F5C"/>
    <w:pPr>
      <w:keepNext/>
      <w:ind w:firstLine="1260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93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E6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6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3F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3F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7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0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0C6CAE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0C6CAE"/>
    <w:pPr>
      <w:widowControl w:val="0"/>
      <w:shd w:val="clear" w:color="auto" w:fill="FFFFFF"/>
      <w:spacing w:before="240" w:after="240" w:line="0" w:lineRule="atLeast"/>
      <w:jc w:val="right"/>
    </w:pPr>
    <w:rPr>
      <w:rFonts w:ascii="Sylfaen" w:eastAsia="Sylfaen" w:hAnsi="Sylfaen" w:cs="Sylfaen"/>
      <w:sz w:val="28"/>
      <w:szCs w:val="28"/>
      <w:lang w:eastAsia="en-US"/>
    </w:rPr>
  </w:style>
  <w:style w:type="paragraph" w:styleId="aa">
    <w:name w:val="Body Text Indent"/>
    <w:basedOn w:val="a"/>
    <w:link w:val="ab"/>
    <w:rsid w:val="00C938F9"/>
    <w:pPr>
      <w:ind w:firstLine="90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938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C938F9"/>
    <w:pPr>
      <w:spacing w:after="120"/>
    </w:pPr>
  </w:style>
  <w:style w:type="character" w:customStyle="1" w:styleId="ad">
    <w:name w:val="Основной текст Знак"/>
    <w:basedOn w:val="a0"/>
    <w:link w:val="ac"/>
    <w:rsid w:val="00C93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6784</Words>
  <Characters>38670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ТФУ</Company>
  <LinksUpToDate>false</LinksUpToDate>
  <CharactersWithSpaces>45364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Дистанова</dc:creator>
  <cp:keywords/>
  <dc:description/>
  <cp:lastModifiedBy>Татьяна</cp:lastModifiedBy>
  <cp:revision>156</cp:revision>
  <cp:lastPrinted>2016-11-30T09:13:00Z</cp:lastPrinted>
  <dcterms:created xsi:type="dcterms:W3CDTF">2016-11-08T05:01:00Z</dcterms:created>
  <dcterms:modified xsi:type="dcterms:W3CDTF">2016-11-30T09:24:00Z</dcterms:modified>
</cp:coreProperties>
</file>